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Times New Roman"/>
          <w:sz w:val="32"/>
          <w:szCs w:val="32"/>
        </w:rPr>
      </w:pPr>
      <w:bookmarkStart w:id="0" w:name="bookmark30"/>
      <w:bookmarkStart w:id="1" w:name="bookmark31"/>
      <w:bookmarkStart w:id="2" w:name="bookmark32"/>
      <w:r>
        <w:rPr>
          <w:rFonts w:hint="eastAsia" w:ascii="黑体" w:hAnsi="黑体" w:eastAsia="黑体" w:cs="Times New Roman"/>
          <w:sz w:val="32"/>
          <w:szCs w:val="32"/>
        </w:rPr>
        <w:t>附件1</w:t>
      </w:r>
    </w:p>
    <w:p>
      <w:pPr>
        <w:rPr>
          <w:rFonts w:hint="eastAsia" w:ascii="黑体" w:hAnsi="黑体" w:eastAsia="黑体" w:cs="Times New Roman"/>
          <w:sz w:val="32"/>
          <w:szCs w:val="32"/>
        </w:rPr>
      </w:pPr>
    </w:p>
    <w:p>
      <w:pPr>
        <w:adjustRightInd w:val="0"/>
        <w:snapToGrid w:val="0"/>
        <w:spacing w:line="580" w:lineRule="exact"/>
        <w:jc w:val="center"/>
        <w:rPr>
          <w:rFonts w:hint="eastAsia" w:ascii="方正小标宋简体" w:hAnsi="Times New Roman" w:eastAsia="方正小标宋简体" w:cs="Times New Roman"/>
          <w:sz w:val="44"/>
          <w:szCs w:val="36"/>
        </w:rPr>
      </w:pPr>
      <w:r>
        <w:rPr>
          <w:rFonts w:hint="eastAsia" w:ascii="方正小标宋简体" w:hAnsi="Times New Roman" w:eastAsia="方正小标宋简体" w:cs="Times New Roman"/>
          <w:sz w:val="44"/>
          <w:szCs w:val="36"/>
        </w:rPr>
        <w:t>食品生产经营监督检查要点表</w:t>
      </w:r>
    </w:p>
    <w:tbl>
      <w:tblPr>
        <w:tblStyle w:val="6"/>
        <w:tblpPr w:leftFromText="180" w:rightFromText="180" w:vertAnchor="text" w:horzAnchor="page" w:tblpX="1842" w:tblpY="904"/>
        <w:tblOverlap w:val="never"/>
        <w:tblW w:w="131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8" w:hRule="atLeast"/>
        </w:trPr>
        <w:tc>
          <w:tcPr>
            <w:tcW w:w="13120" w:type="dxa"/>
            <w:shd w:val="clear" w:color="auto" w:fill="auto"/>
            <w:vAlign w:val="top"/>
          </w:tcPr>
          <w:p>
            <w:pPr>
              <w:widowControl/>
              <w:adjustRightInd w:val="0"/>
              <w:snapToGrid w:val="0"/>
              <w:spacing w:line="400" w:lineRule="exact"/>
              <w:jc w:val="left"/>
              <w:rPr>
                <w:rFonts w:hint="eastAsia" w:asciiTheme="minorEastAsia" w:hAnsiTheme="minorEastAsia" w:eastAsiaTheme="minorEastAsia" w:cstheme="minorEastAsia"/>
                <w:kern w:val="0"/>
                <w:sz w:val="24"/>
              </w:rPr>
            </w:pPr>
          </w:p>
          <w:p>
            <w:pPr>
              <w:keepNext w:val="0"/>
              <w:keepLines w:val="0"/>
              <w:pageBreakBefore w:val="0"/>
              <w:widowControl/>
              <w:kinsoku/>
              <w:wordWrap/>
              <w:overflowPunct/>
              <w:topLinePunct w:val="0"/>
              <w:autoSpaceDE/>
              <w:autoSpaceDN/>
              <w:bidi w:val="0"/>
              <w:adjustRightInd w:val="0"/>
              <w:snapToGrid w:val="0"/>
              <w:spacing w:line="288" w:lineRule="auto"/>
              <w:jc w:val="left"/>
              <w:textAlignment w:val="auto"/>
              <w:rPr>
                <w:rFonts w:hint="default" w:asciiTheme="minorEastAsia" w:hAnsiTheme="minorEastAsia" w:eastAsiaTheme="minorEastAsia" w:cstheme="minorEastAsia"/>
                <w:kern w:val="0"/>
                <w:sz w:val="24"/>
                <w:szCs w:val="24"/>
                <w:u w:val="single"/>
                <w:lang w:val="en-US"/>
              </w:rPr>
            </w:pPr>
            <w:r>
              <w:rPr>
                <w:rFonts w:hint="eastAsia" w:asciiTheme="minorEastAsia" w:hAnsiTheme="minorEastAsia" w:eastAsiaTheme="minorEastAsia" w:cstheme="minorEastAsia"/>
                <w:kern w:val="0"/>
                <w:sz w:val="24"/>
                <w:szCs w:val="24"/>
              </w:rPr>
              <w:t>被检查单位：</w:t>
            </w:r>
            <w:r>
              <w:rPr>
                <w:rFonts w:hint="eastAsia" w:asciiTheme="minorEastAsia" w:hAnsiTheme="minorEastAsia" w:eastAsiaTheme="minorEastAsia" w:cstheme="minorEastAsia"/>
                <w:kern w:val="0"/>
                <w:sz w:val="24"/>
                <w:szCs w:val="24"/>
                <w:u w:val="single"/>
              </w:rPr>
              <w:t xml:space="preserve">     </w:t>
            </w:r>
            <w:r>
              <w:rPr>
                <w:rFonts w:hint="eastAsia" w:asciiTheme="minorEastAsia" w:hAnsiTheme="minorEastAsia" w:eastAsiaTheme="minorEastAsia" w:cstheme="minorEastAsia"/>
                <w:color w:val="000000" w:themeColor="text1"/>
                <w:kern w:val="0"/>
                <w:sz w:val="24"/>
                <w:szCs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kern w:val="0"/>
                <w:sz w:val="24"/>
                <w:szCs w:val="24"/>
                <w:u w:val="single" w:color="000000" w:themeColor="text1"/>
                <w14:textFill>
                  <w14:solidFill>
                    <w14:schemeClr w14:val="tx1"/>
                  </w14:solidFill>
                </w14:textFill>
              </w:rPr>
              <w:t xml:space="preserve">        </w:t>
            </w:r>
            <w:r>
              <w:rPr>
                <w:rFonts w:hint="eastAsia" w:asciiTheme="minorEastAsia" w:hAnsiTheme="minorEastAsia" w:eastAsiaTheme="minorEastAsia" w:cstheme="minorEastAsia"/>
                <w:color w:val="000000" w:themeColor="text1"/>
                <w:kern w:val="0"/>
                <w:sz w:val="24"/>
                <w:szCs w:val="24"/>
                <w:u w:val="single" w:color="000000" w:themeColor="text1"/>
                <w:lang w:val="en-US" w:eastAsia="zh-CN"/>
                <w14:textFill>
                  <w14:solidFill>
                    <w14:schemeClr w14:val="tx1"/>
                  </w14:solidFill>
                </w14:textFill>
              </w:rPr>
              <w:t xml:space="preserve">                    </w:t>
            </w:r>
            <w:r>
              <w:rPr>
                <w:rFonts w:hint="eastAsia" w:asciiTheme="minorEastAsia" w:hAnsiTheme="minorEastAsia" w:eastAsiaTheme="minorEastAsia" w:cstheme="minorEastAsia"/>
                <w:kern w:val="0"/>
                <w:sz w:val="24"/>
                <w:szCs w:val="24"/>
              </w:rPr>
              <w:t xml:space="preserve"> 地址：</w:t>
            </w:r>
            <w:r>
              <w:rPr>
                <w:rFonts w:hint="eastAsia" w:asciiTheme="minorEastAsia" w:hAnsiTheme="minorEastAsia" w:eastAsiaTheme="minorEastAsia" w:cstheme="minorEastAsia"/>
                <w:kern w:val="0"/>
                <w:sz w:val="24"/>
                <w:szCs w:val="24"/>
                <w:u w:val="single"/>
                <w:lang w:val="en-US" w:eastAsia="zh-CN"/>
              </w:rPr>
              <w:t xml:space="preserve">                                                                                               </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288" w:lineRule="auto"/>
              <w:ind w:left="0" w:right="0"/>
              <w:jc w:val="both"/>
              <w:textAlignment w:val="auto"/>
              <w:rPr>
                <w:rFonts w:hint="eastAsia" w:asciiTheme="minorEastAsia" w:hAnsiTheme="minorEastAsia" w:eastAsiaTheme="minorEastAsia" w:cstheme="minorEastAsia"/>
                <w:kern w:val="0"/>
                <w:sz w:val="24"/>
                <w:szCs w:val="24"/>
                <w:u w:val="single"/>
              </w:rPr>
            </w:pPr>
            <w:r>
              <w:rPr>
                <w:rFonts w:hint="eastAsia" w:asciiTheme="minorEastAsia" w:hAnsiTheme="minorEastAsia" w:eastAsiaTheme="minorEastAsia" w:cstheme="minorEastAsia"/>
                <w:kern w:val="0"/>
                <w:sz w:val="24"/>
                <w:szCs w:val="24"/>
              </w:rPr>
              <w:t>检查人员：</w:t>
            </w:r>
            <w:r>
              <w:rPr>
                <w:rFonts w:hint="eastAsia" w:asciiTheme="minorEastAsia" w:hAnsiTheme="minorEastAsia" w:eastAsiaTheme="minorEastAsia" w:cstheme="minorEastAsia"/>
                <w:color w:val="000000"/>
                <w:kern w:val="0"/>
                <w:sz w:val="24"/>
                <w:szCs w:val="24"/>
                <w:u w:val="single"/>
                <w:lang w:val="en-US" w:eastAsia="zh-CN" w:bidi="ar"/>
              </w:rPr>
              <w:t xml:space="preserve">                                                                                         </w:t>
            </w:r>
            <w:r>
              <w:rPr>
                <w:rFonts w:hint="eastAsia" w:asciiTheme="minorEastAsia" w:hAnsiTheme="minorEastAsia" w:eastAsiaTheme="minorEastAsia" w:cstheme="minorEastAsia"/>
                <w:kern w:val="0"/>
                <w:sz w:val="24"/>
                <w:szCs w:val="24"/>
                <w:u w:val="single"/>
                <w:lang w:val="en-US" w:eastAsia="zh-CN"/>
              </w:rPr>
              <w:t xml:space="preserve">                </w:t>
            </w:r>
            <w:r>
              <w:rPr>
                <w:rFonts w:hint="eastAsia" w:asciiTheme="minorEastAsia" w:hAnsiTheme="minorEastAsia" w:eastAsiaTheme="minorEastAsia" w:cstheme="minorEastAsia"/>
                <w:color w:val="000000"/>
                <w:kern w:val="0"/>
                <w:sz w:val="24"/>
                <w:szCs w:val="24"/>
                <w:u w:val="single"/>
                <w:lang w:val="en-US" w:eastAsia="zh-CN" w:bidi="ar"/>
              </w:rPr>
              <w:t xml:space="preserve">                                  </w:t>
            </w:r>
            <w:r>
              <w:rPr>
                <w:rFonts w:hint="eastAsia" w:asciiTheme="minorEastAsia" w:hAnsiTheme="minorEastAsia" w:eastAsiaTheme="minorEastAsia" w:cstheme="minorEastAsia"/>
                <w:kern w:val="0"/>
                <w:sz w:val="24"/>
                <w:szCs w:val="24"/>
                <w:u w:val="single"/>
              </w:rPr>
              <w:t xml:space="preserve">                                                      </w:t>
            </w:r>
          </w:p>
          <w:p>
            <w:pPr>
              <w:keepNext w:val="0"/>
              <w:keepLines w:val="0"/>
              <w:pageBreakBefore w:val="0"/>
              <w:widowControl/>
              <w:kinsoku/>
              <w:wordWrap/>
              <w:overflowPunct/>
              <w:topLinePunct w:val="0"/>
              <w:autoSpaceDE/>
              <w:autoSpaceDN/>
              <w:bidi w:val="0"/>
              <w:adjustRightInd w:val="0"/>
              <w:snapToGrid w:val="0"/>
              <w:spacing w:line="288" w:lineRule="auto"/>
              <w:jc w:val="left"/>
              <w:textAlignment w:val="auto"/>
              <w:rPr>
                <w:rFonts w:hint="eastAsia" w:asciiTheme="minorEastAsia" w:hAnsiTheme="minorEastAsia" w:eastAsiaTheme="minorEastAsia" w:cstheme="minorEastAsia"/>
                <w:kern w:val="0"/>
                <w:sz w:val="24"/>
                <w:szCs w:val="24"/>
                <w:lang w:eastAsia="zh-CN"/>
              </w:rPr>
            </w:pPr>
            <w:r>
              <w:rPr>
                <w:rFonts w:hint="eastAsia" w:asciiTheme="minorEastAsia" w:hAnsiTheme="minorEastAsia" w:eastAsiaTheme="minorEastAsia" w:cstheme="minorEastAsia"/>
                <w:kern w:val="0"/>
                <w:sz w:val="24"/>
                <w:szCs w:val="24"/>
              </w:rPr>
              <w:t>检查时间：</w:t>
            </w:r>
            <w:r>
              <w:rPr>
                <w:rFonts w:hint="eastAsia" w:asciiTheme="minorEastAsia" w:hAnsiTheme="minorEastAsia" w:eastAsiaTheme="minorEastAsia" w:cstheme="minorEastAsia"/>
                <w:kern w:val="0"/>
                <w:sz w:val="24"/>
                <w:szCs w:val="24"/>
                <w:u w:val="single"/>
              </w:rPr>
              <w:t xml:space="preserve">   </w:t>
            </w:r>
            <w:r>
              <w:rPr>
                <w:rFonts w:hint="eastAsia" w:asciiTheme="minorEastAsia" w:hAnsiTheme="minorEastAsia" w:eastAsiaTheme="minorEastAsia" w:cstheme="minorEastAsia"/>
                <w:kern w:val="0"/>
                <w:sz w:val="24"/>
                <w:szCs w:val="24"/>
                <w:u w:val="single"/>
                <w:lang w:val="en-US" w:eastAsia="zh-CN"/>
              </w:rPr>
              <w:t xml:space="preserve">     </w:t>
            </w:r>
            <w:r>
              <w:rPr>
                <w:rFonts w:hint="eastAsia" w:asciiTheme="minorEastAsia" w:hAnsiTheme="minorEastAsia" w:eastAsiaTheme="minorEastAsia" w:cstheme="minorEastAsia"/>
                <w:kern w:val="0"/>
                <w:sz w:val="24"/>
                <w:szCs w:val="24"/>
                <w:u w:val="single"/>
              </w:rPr>
              <w:t xml:space="preserve">  </w:t>
            </w:r>
            <w:r>
              <w:rPr>
                <w:rFonts w:hint="eastAsia" w:asciiTheme="minorEastAsia" w:hAnsiTheme="minorEastAsia" w:eastAsiaTheme="minorEastAsia" w:cstheme="minorEastAsia"/>
                <w:kern w:val="0"/>
                <w:sz w:val="24"/>
                <w:szCs w:val="24"/>
              </w:rPr>
              <w:t>年</w:t>
            </w:r>
            <w:r>
              <w:rPr>
                <w:rFonts w:hint="eastAsia" w:asciiTheme="minorEastAsia" w:hAnsiTheme="minorEastAsia" w:eastAsiaTheme="minorEastAsia" w:cstheme="minorEastAsia"/>
                <w:kern w:val="0"/>
                <w:sz w:val="24"/>
                <w:szCs w:val="24"/>
                <w:u w:val="single"/>
              </w:rPr>
              <w:t xml:space="preserve">   </w:t>
            </w:r>
            <w:r>
              <w:rPr>
                <w:rFonts w:hint="eastAsia" w:asciiTheme="minorEastAsia" w:hAnsiTheme="minorEastAsia" w:eastAsiaTheme="minorEastAsia" w:cstheme="minorEastAsia"/>
                <w:kern w:val="0"/>
                <w:sz w:val="24"/>
                <w:szCs w:val="24"/>
                <w:u w:val="single"/>
                <w:lang w:val="en-US" w:eastAsia="zh-CN"/>
              </w:rPr>
              <w:t xml:space="preserve">   </w:t>
            </w:r>
            <w:r>
              <w:rPr>
                <w:rFonts w:hint="eastAsia" w:asciiTheme="minorEastAsia" w:hAnsiTheme="minorEastAsia" w:eastAsiaTheme="minorEastAsia" w:cstheme="minorEastAsia"/>
                <w:kern w:val="0"/>
                <w:sz w:val="24"/>
                <w:szCs w:val="24"/>
                <w:u w:val="single"/>
              </w:rPr>
              <w:t xml:space="preserve"> </w:t>
            </w:r>
            <w:r>
              <w:rPr>
                <w:rFonts w:hint="eastAsia" w:asciiTheme="minorEastAsia" w:hAnsiTheme="minorEastAsia" w:eastAsiaTheme="minorEastAsia" w:cstheme="minorEastAsia"/>
                <w:kern w:val="0"/>
                <w:sz w:val="24"/>
                <w:szCs w:val="24"/>
              </w:rPr>
              <w:t>月</w:t>
            </w:r>
            <w:r>
              <w:rPr>
                <w:rFonts w:hint="eastAsia" w:asciiTheme="minorEastAsia" w:hAnsiTheme="minorEastAsia" w:eastAsiaTheme="minorEastAsia" w:cstheme="minorEastAsia"/>
                <w:kern w:val="0"/>
                <w:sz w:val="24"/>
                <w:szCs w:val="24"/>
                <w:u w:val="single"/>
              </w:rPr>
              <w:t xml:space="preserve">   </w:t>
            </w:r>
            <w:r>
              <w:rPr>
                <w:rFonts w:hint="eastAsia" w:asciiTheme="minorEastAsia" w:hAnsiTheme="minorEastAsia" w:eastAsiaTheme="minorEastAsia" w:cstheme="minorEastAsia"/>
                <w:kern w:val="0"/>
                <w:sz w:val="24"/>
                <w:szCs w:val="24"/>
                <w:u w:val="single"/>
                <w:lang w:val="en-US" w:eastAsia="zh-CN"/>
              </w:rPr>
              <w:t xml:space="preserve">   </w:t>
            </w:r>
            <w:r>
              <w:rPr>
                <w:rFonts w:hint="eastAsia" w:asciiTheme="minorEastAsia" w:hAnsiTheme="minorEastAsia" w:eastAsiaTheme="minorEastAsia" w:cstheme="minorEastAsia"/>
                <w:kern w:val="0"/>
                <w:sz w:val="24"/>
                <w:szCs w:val="24"/>
                <w:u w:val="single"/>
              </w:rPr>
              <w:t xml:space="preserve"> </w:t>
            </w:r>
            <w:r>
              <w:rPr>
                <w:rFonts w:hint="eastAsia" w:asciiTheme="minorEastAsia" w:hAnsiTheme="minorEastAsia" w:eastAsiaTheme="minorEastAsia" w:cstheme="minorEastAsia"/>
                <w:kern w:val="0"/>
                <w:sz w:val="24"/>
                <w:szCs w:val="24"/>
              </w:rPr>
              <w:t>日</w:t>
            </w:r>
            <w:r>
              <w:rPr>
                <w:rFonts w:hint="eastAsia" w:asciiTheme="minorEastAsia" w:hAnsiTheme="minorEastAsia" w:eastAsiaTheme="minorEastAsia" w:cstheme="minorEastAsia"/>
                <w:kern w:val="0"/>
                <w:sz w:val="24"/>
                <w:szCs w:val="24"/>
                <w:lang w:val="en-US" w:eastAsia="zh-CN"/>
              </w:rPr>
              <w:t xml:space="preserve">  </w:t>
            </w:r>
            <w:r>
              <w:rPr>
                <w:rFonts w:hint="eastAsia" w:asciiTheme="minorEastAsia" w:hAnsiTheme="minorEastAsia" w:eastAsiaTheme="minorEastAsia" w:cstheme="minorEastAsia"/>
                <w:kern w:val="0"/>
                <w:sz w:val="24"/>
                <w:szCs w:val="24"/>
                <w:lang w:eastAsia="zh-CN"/>
              </w:rPr>
              <w:t>至</w:t>
            </w:r>
            <w:r>
              <w:rPr>
                <w:rFonts w:hint="eastAsia" w:asciiTheme="minorEastAsia" w:hAnsiTheme="minorEastAsia" w:eastAsiaTheme="minorEastAsia" w:cstheme="minorEastAsia"/>
                <w:kern w:val="0"/>
                <w:sz w:val="24"/>
                <w:szCs w:val="24"/>
                <w:lang w:val="en-US" w:eastAsia="zh-CN"/>
              </w:rPr>
              <w:t xml:space="preserve">  </w:t>
            </w:r>
            <w:r>
              <w:rPr>
                <w:rFonts w:hint="eastAsia" w:asciiTheme="minorEastAsia" w:hAnsiTheme="minorEastAsia" w:eastAsiaTheme="minorEastAsia" w:cstheme="minorEastAsia"/>
                <w:kern w:val="0"/>
                <w:sz w:val="24"/>
                <w:szCs w:val="24"/>
                <w:u w:val="single"/>
              </w:rPr>
              <w:t xml:space="preserve">   </w:t>
            </w:r>
            <w:r>
              <w:rPr>
                <w:rFonts w:hint="eastAsia" w:asciiTheme="minorEastAsia" w:hAnsiTheme="minorEastAsia" w:eastAsiaTheme="minorEastAsia" w:cstheme="minorEastAsia"/>
                <w:kern w:val="0"/>
                <w:sz w:val="24"/>
                <w:szCs w:val="24"/>
                <w:u w:val="single"/>
                <w:lang w:val="en-US" w:eastAsia="zh-CN"/>
              </w:rPr>
              <w:t xml:space="preserve">     </w:t>
            </w:r>
            <w:r>
              <w:rPr>
                <w:rFonts w:hint="eastAsia" w:asciiTheme="minorEastAsia" w:hAnsiTheme="minorEastAsia" w:eastAsiaTheme="minorEastAsia" w:cstheme="minorEastAsia"/>
                <w:kern w:val="0"/>
                <w:sz w:val="24"/>
                <w:szCs w:val="24"/>
                <w:u w:val="single"/>
              </w:rPr>
              <w:t xml:space="preserve">   </w:t>
            </w:r>
            <w:r>
              <w:rPr>
                <w:rFonts w:hint="eastAsia" w:asciiTheme="minorEastAsia" w:hAnsiTheme="minorEastAsia" w:eastAsiaTheme="minorEastAsia" w:cstheme="minorEastAsia"/>
                <w:kern w:val="0"/>
                <w:sz w:val="24"/>
                <w:szCs w:val="24"/>
              </w:rPr>
              <w:t>年</w:t>
            </w:r>
            <w:r>
              <w:rPr>
                <w:rFonts w:hint="eastAsia" w:asciiTheme="minorEastAsia" w:hAnsiTheme="minorEastAsia" w:eastAsiaTheme="minorEastAsia" w:cstheme="minorEastAsia"/>
                <w:kern w:val="0"/>
                <w:sz w:val="24"/>
                <w:szCs w:val="24"/>
                <w:u w:val="single"/>
              </w:rPr>
              <w:t xml:space="preserve">   </w:t>
            </w:r>
            <w:r>
              <w:rPr>
                <w:rFonts w:hint="eastAsia" w:asciiTheme="minorEastAsia" w:hAnsiTheme="minorEastAsia" w:eastAsiaTheme="minorEastAsia" w:cstheme="minorEastAsia"/>
                <w:kern w:val="0"/>
                <w:sz w:val="24"/>
                <w:szCs w:val="24"/>
                <w:u w:val="single"/>
                <w:lang w:val="en-US" w:eastAsia="zh-CN"/>
              </w:rPr>
              <w:t xml:space="preserve">   </w:t>
            </w:r>
            <w:r>
              <w:rPr>
                <w:rFonts w:hint="eastAsia" w:asciiTheme="minorEastAsia" w:hAnsiTheme="minorEastAsia" w:eastAsiaTheme="minorEastAsia" w:cstheme="minorEastAsia"/>
                <w:kern w:val="0"/>
                <w:sz w:val="24"/>
                <w:szCs w:val="24"/>
                <w:u w:val="single"/>
              </w:rPr>
              <w:t xml:space="preserve"> </w:t>
            </w:r>
            <w:r>
              <w:rPr>
                <w:rFonts w:hint="eastAsia" w:asciiTheme="minorEastAsia" w:hAnsiTheme="minorEastAsia" w:eastAsiaTheme="minorEastAsia" w:cstheme="minorEastAsia"/>
                <w:kern w:val="0"/>
                <w:sz w:val="24"/>
                <w:szCs w:val="24"/>
              </w:rPr>
              <w:t>月</w:t>
            </w:r>
            <w:r>
              <w:rPr>
                <w:rFonts w:hint="eastAsia" w:asciiTheme="minorEastAsia" w:hAnsiTheme="minorEastAsia" w:eastAsiaTheme="minorEastAsia" w:cstheme="minorEastAsia"/>
                <w:kern w:val="0"/>
                <w:sz w:val="24"/>
                <w:szCs w:val="24"/>
                <w:u w:val="single"/>
              </w:rPr>
              <w:t xml:space="preserve">   </w:t>
            </w:r>
            <w:r>
              <w:rPr>
                <w:rFonts w:hint="eastAsia" w:asciiTheme="minorEastAsia" w:hAnsiTheme="minorEastAsia" w:eastAsiaTheme="minorEastAsia" w:cstheme="minorEastAsia"/>
                <w:kern w:val="0"/>
                <w:sz w:val="24"/>
                <w:szCs w:val="24"/>
                <w:u w:val="single"/>
                <w:lang w:val="en-US" w:eastAsia="zh-CN"/>
              </w:rPr>
              <w:t xml:space="preserve">   </w:t>
            </w:r>
            <w:r>
              <w:rPr>
                <w:rFonts w:hint="eastAsia" w:asciiTheme="minorEastAsia" w:hAnsiTheme="minorEastAsia" w:eastAsiaTheme="minorEastAsia" w:cstheme="minorEastAsia"/>
                <w:kern w:val="0"/>
                <w:sz w:val="24"/>
                <w:szCs w:val="24"/>
                <w:u w:val="single"/>
              </w:rPr>
              <w:t xml:space="preserve"> </w:t>
            </w:r>
            <w:r>
              <w:rPr>
                <w:rFonts w:hint="eastAsia" w:asciiTheme="minorEastAsia" w:hAnsiTheme="minorEastAsia" w:eastAsiaTheme="minorEastAsia" w:cstheme="minorEastAsia"/>
                <w:kern w:val="0"/>
                <w:sz w:val="24"/>
                <w:szCs w:val="24"/>
              </w:rPr>
              <w:t>日</w:t>
            </w:r>
          </w:p>
          <w:p>
            <w:pPr>
              <w:keepNext w:val="0"/>
              <w:keepLines w:val="0"/>
              <w:pageBreakBefore w:val="0"/>
              <w:widowControl/>
              <w:kinsoku/>
              <w:wordWrap/>
              <w:overflowPunct/>
              <w:topLinePunct w:val="0"/>
              <w:autoSpaceDE/>
              <w:autoSpaceDN/>
              <w:bidi w:val="0"/>
              <w:adjustRightInd w:val="0"/>
              <w:snapToGrid w:val="0"/>
              <w:spacing w:line="288" w:lineRule="auto"/>
              <w:jc w:val="left"/>
              <w:textAlignment w:val="auto"/>
              <w:rPr>
                <w:rFonts w:hint="eastAsia" w:asciiTheme="minorEastAsia" w:hAnsiTheme="minorEastAsia" w:eastAsiaTheme="minorEastAsia" w:cstheme="minorEastAsia"/>
                <w:kern w:val="0"/>
                <w:sz w:val="24"/>
                <w:szCs w:val="24"/>
                <w:u w:val="single"/>
              </w:rPr>
            </w:pPr>
            <w:r>
              <w:rPr>
                <w:rFonts w:hint="eastAsia" w:asciiTheme="minorEastAsia" w:hAnsiTheme="minorEastAsia" w:eastAsiaTheme="minorEastAsia" w:cstheme="minorEastAsia"/>
                <w:kern w:val="0"/>
                <w:sz w:val="24"/>
                <w:szCs w:val="24"/>
              </w:rPr>
              <w:t>检查地点：</w:t>
            </w:r>
            <w:r>
              <w:rPr>
                <w:rFonts w:hint="eastAsia" w:asciiTheme="minorEastAsia" w:hAnsiTheme="minorEastAsia" w:eastAsiaTheme="minorEastAsia" w:cstheme="minorEastAsia"/>
                <w:kern w:val="0"/>
                <w:sz w:val="24"/>
                <w:szCs w:val="24"/>
                <w:u w:val="single"/>
              </w:rPr>
              <w:t xml:space="preserve">       </w:t>
            </w:r>
            <w:r>
              <w:rPr>
                <w:rFonts w:hint="eastAsia" w:asciiTheme="minorEastAsia" w:hAnsiTheme="minorEastAsia" w:eastAsiaTheme="minorEastAsia" w:cstheme="minorEastAsia"/>
                <w:kern w:val="0"/>
                <w:sz w:val="24"/>
                <w:szCs w:val="24"/>
                <w:u w:val="single"/>
                <w:lang w:val="en-US" w:eastAsia="zh-CN"/>
              </w:rPr>
              <w:t xml:space="preserve">                                                                                                                                                                                 </w:t>
            </w:r>
            <w:r>
              <w:rPr>
                <w:rFonts w:hint="eastAsia" w:asciiTheme="minorEastAsia" w:hAnsiTheme="minorEastAsia" w:eastAsiaTheme="minorEastAsia" w:cstheme="minorEastAsia"/>
                <w:kern w:val="0"/>
                <w:sz w:val="24"/>
                <w:szCs w:val="24"/>
                <w:u w:val="single"/>
              </w:rPr>
              <w:t xml:space="preserve">         </w:t>
            </w:r>
          </w:p>
          <w:p>
            <w:pPr>
              <w:keepNext w:val="0"/>
              <w:keepLines w:val="0"/>
              <w:pageBreakBefore w:val="0"/>
              <w:widowControl/>
              <w:kinsoku/>
              <w:wordWrap/>
              <w:overflowPunct/>
              <w:topLinePunct w:val="0"/>
              <w:autoSpaceDE/>
              <w:autoSpaceDN/>
              <w:bidi w:val="0"/>
              <w:adjustRightInd w:val="0"/>
              <w:snapToGrid w:val="0"/>
              <w:spacing w:line="288" w:lineRule="auto"/>
              <w:jc w:val="lef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告知事项：</w:t>
            </w:r>
          </w:p>
          <w:p>
            <w:pPr>
              <w:widowControl/>
              <w:adjustRightInd w:val="0"/>
              <w:snapToGrid w:val="0"/>
              <w:spacing w:line="400" w:lineRule="exact"/>
              <w:ind w:firstLine="480" w:firstLineChars="200"/>
              <w:jc w:val="left"/>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kern w:val="0"/>
                <w:sz w:val="24"/>
                <w:szCs w:val="24"/>
              </w:rPr>
              <w:t>我们是</w:t>
            </w:r>
            <w:r>
              <w:rPr>
                <w:rFonts w:hint="eastAsia" w:asciiTheme="minorEastAsia" w:hAnsiTheme="minorEastAsia" w:eastAsiaTheme="minorEastAsia" w:cstheme="minorEastAsia"/>
                <w:kern w:val="0"/>
                <w:sz w:val="24"/>
                <w:szCs w:val="24"/>
                <w:u w:val="single"/>
              </w:rPr>
              <w:t xml:space="preserve">                                       </w:t>
            </w:r>
            <w:r>
              <w:rPr>
                <w:rFonts w:hint="eastAsia" w:asciiTheme="minorEastAsia" w:hAnsiTheme="minorEastAsia" w:eastAsiaTheme="minorEastAsia" w:cstheme="minorEastAsia"/>
                <w:kern w:val="0"/>
                <w:sz w:val="24"/>
                <w:szCs w:val="24"/>
              </w:rPr>
              <w:t>监督检查人员，</w:t>
            </w:r>
            <w:r>
              <w:rPr>
                <w:rFonts w:hint="eastAsia" w:asciiTheme="minorEastAsia" w:hAnsiTheme="minorEastAsia" w:eastAsiaTheme="minorEastAsia" w:cstheme="minorEastAsia"/>
                <w:bCs/>
                <w:sz w:val="24"/>
                <w:szCs w:val="24"/>
              </w:rPr>
              <w:t>现出示</w:t>
            </w:r>
            <w:r>
              <w:rPr>
                <w:rFonts w:hint="eastAsia" w:asciiTheme="minorEastAsia" w:hAnsiTheme="minorEastAsia" w:eastAsiaTheme="minorEastAsia" w:cstheme="minorEastAsia"/>
                <w:bCs/>
                <w:sz w:val="24"/>
                <w:szCs w:val="24"/>
                <w:lang w:val="en-US" w:eastAsia="zh-CN"/>
              </w:rPr>
              <w:t xml:space="preserve"> </w:t>
            </w:r>
            <w:r>
              <w:rPr>
                <w:rFonts w:hint="eastAsia" w:asciiTheme="minorEastAsia" w:hAnsiTheme="minorEastAsia" w:eastAsiaTheme="minorEastAsia" w:cstheme="minorEastAsia"/>
                <w:sz w:val="24"/>
                <w:szCs w:val="24"/>
              </w:rPr>
              <w:sym w:font="Wingdings 2" w:char="00A3"/>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kern w:val="0"/>
                <w:sz w:val="24"/>
                <w:szCs w:val="24"/>
              </w:rPr>
              <w:t>执法证件</w:t>
            </w:r>
            <w:r>
              <w:rPr>
                <w:rFonts w:hint="eastAsia" w:asciiTheme="minorEastAsia" w:hAnsiTheme="minorEastAsia" w:eastAsiaTheme="minorEastAsia" w:cstheme="minorEastAsia"/>
                <w:kern w:val="0"/>
                <w:sz w:val="24"/>
                <w:szCs w:val="24"/>
                <w:lang w:val="en-US" w:eastAsia="zh-CN"/>
              </w:rPr>
              <w:t xml:space="preserve"> </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kern w:val="0"/>
                <w:sz w:val="24"/>
                <w:szCs w:val="24"/>
                <w:lang w:eastAsia="zh-CN"/>
              </w:rPr>
              <w:t>检查任务书</w:t>
            </w:r>
            <w:r>
              <w:rPr>
                <w:rFonts w:hint="eastAsia" w:asciiTheme="minorEastAsia" w:hAnsiTheme="minorEastAsia" w:eastAsiaTheme="minorEastAsia" w:cstheme="minorEastAsia"/>
                <w:kern w:val="0"/>
                <w:sz w:val="24"/>
                <w:szCs w:val="24"/>
              </w:rPr>
              <w:t>。</w:t>
            </w:r>
            <w:r>
              <w:rPr>
                <w:rFonts w:hint="eastAsia" w:asciiTheme="minorEastAsia" w:hAnsiTheme="minorEastAsia" w:eastAsiaTheme="minorEastAsia" w:cstheme="minorEastAsia"/>
                <w:bCs/>
                <w:sz w:val="24"/>
                <w:szCs w:val="24"/>
              </w:rPr>
              <w:t>我们依法对你单位进行监督检查，请予配合。</w:t>
            </w:r>
          </w:p>
          <w:p>
            <w:pPr>
              <w:widowControl/>
              <w:adjustRightInd w:val="0"/>
              <w:snapToGrid w:val="0"/>
              <w:spacing w:line="400" w:lineRule="exact"/>
              <w:ind w:firstLine="480" w:firstLineChars="200"/>
              <w:jc w:val="left"/>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sz w:val="24"/>
                <w:szCs w:val="24"/>
              </w:rPr>
              <w:t>依照法律规定，监督检查</w:t>
            </w:r>
            <w:r>
              <w:rPr>
                <w:rFonts w:hint="eastAsia" w:asciiTheme="minorEastAsia" w:hAnsiTheme="minorEastAsia" w:eastAsiaTheme="minorEastAsia" w:cstheme="minorEastAsia"/>
                <w:kern w:val="0"/>
                <w:sz w:val="24"/>
                <w:szCs w:val="24"/>
              </w:rPr>
              <w:t>人员少于两人或者所出示的执法证件</w:t>
            </w:r>
            <w:r>
              <w:rPr>
                <w:rFonts w:hint="eastAsia" w:asciiTheme="minorEastAsia" w:hAnsiTheme="minorEastAsia" w:eastAsiaTheme="minorEastAsia" w:cstheme="minorEastAsia"/>
                <w:kern w:val="0"/>
                <w:sz w:val="24"/>
                <w:szCs w:val="24"/>
                <w:lang w:eastAsia="zh-CN"/>
              </w:rPr>
              <w:t>（或检查任务书）</w:t>
            </w:r>
            <w:r>
              <w:rPr>
                <w:rFonts w:hint="eastAsia" w:asciiTheme="minorEastAsia" w:hAnsiTheme="minorEastAsia" w:eastAsiaTheme="minorEastAsia" w:cstheme="minorEastAsia"/>
                <w:kern w:val="0"/>
                <w:sz w:val="24"/>
                <w:szCs w:val="24"/>
              </w:rPr>
              <w:t>与其身份不符的，</w:t>
            </w:r>
            <w:r>
              <w:rPr>
                <w:rFonts w:hint="eastAsia" w:asciiTheme="minorEastAsia" w:hAnsiTheme="minorEastAsia" w:eastAsiaTheme="minorEastAsia" w:cstheme="minorEastAsia"/>
                <w:sz w:val="24"/>
                <w:szCs w:val="24"/>
              </w:rPr>
              <w:t>你单位</w:t>
            </w:r>
            <w:r>
              <w:rPr>
                <w:rFonts w:hint="eastAsia" w:asciiTheme="minorEastAsia" w:hAnsiTheme="minorEastAsia" w:eastAsiaTheme="minorEastAsia" w:cstheme="minorEastAsia"/>
                <w:kern w:val="0"/>
                <w:sz w:val="24"/>
                <w:szCs w:val="24"/>
              </w:rPr>
              <w:t>有权拒绝检查；</w:t>
            </w:r>
            <w:r>
              <w:rPr>
                <w:rFonts w:hint="eastAsia" w:asciiTheme="minorEastAsia" w:hAnsiTheme="minorEastAsia" w:eastAsiaTheme="minorEastAsia" w:cstheme="minorEastAsia"/>
                <w:sz w:val="24"/>
                <w:szCs w:val="24"/>
              </w:rPr>
              <w:t>对于监督检查人员</w:t>
            </w:r>
            <w:r>
              <w:rPr>
                <w:rFonts w:hint="eastAsia" w:asciiTheme="minorEastAsia" w:hAnsiTheme="minorEastAsia" w:eastAsiaTheme="minorEastAsia" w:cstheme="minorEastAsia"/>
                <w:sz w:val="24"/>
                <w:szCs w:val="24"/>
                <w:lang w:eastAsia="zh-CN"/>
              </w:rPr>
              <w:t>与你单位之前存在直接利害关系或者其他可能影响检查公正情形的，你单位有权申请回避。</w:t>
            </w:r>
          </w:p>
          <w:p>
            <w:pPr>
              <w:widowControl/>
              <w:adjustRightInd w:val="0"/>
              <w:snapToGrid w:val="0"/>
              <w:spacing w:line="400" w:lineRule="exact"/>
              <w:ind w:firstLine="480" w:firstLineChars="200"/>
              <w:jc w:val="left"/>
              <w:rPr>
                <w:rFonts w:hint="eastAsia" w:asciiTheme="minorEastAsia" w:hAnsiTheme="minorEastAsia" w:eastAsiaTheme="minorEastAsia" w:cstheme="minorEastAsia"/>
                <w:bCs/>
                <w:kern w:val="0"/>
                <w:sz w:val="24"/>
                <w:szCs w:val="24"/>
              </w:rPr>
            </w:pPr>
            <w:r>
              <w:rPr>
                <w:rFonts w:hint="eastAsia" w:asciiTheme="minorEastAsia" w:hAnsiTheme="minorEastAsia" w:eastAsiaTheme="minorEastAsia" w:cstheme="minorEastAsia"/>
                <w:bCs/>
                <w:kern w:val="0"/>
                <w:sz w:val="24"/>
                <w:szCs w:val="24"/>
              </w:rPr>
              <w:t>问：你单位是否申请回避？</w:t>
            </w:r>
          </w:p>
          <w:p>
            <w:pPr>
              <w:widowControl/>
              <w:adjustRightInd w:val="0"/>
              <w:snapToGrid w:val="0"/>
              <w:spacing w:line="400" w:lineRule="exact"/>
              <w:ind w:firstLine="480" w:firstLineChars="200"/>
              <w:jc w:val="left"/>
              <w:rPr>
                <w:rFonts w:hint="eastAsia" w:asciiTheme="minorEastAsia" w:hAnsiTheme="minorEastAsia" w:eastAsiaTheme="minorEastAsia" w:cstheme="minorEastAsia"/>
                <w:bCs/>
                <w:kern w:val="0"/>
                <w:sz w:val="24"/>
                <w:szCs w:val="24"/>
              </w:rPr>
            </w:pPr>
            <w:r>
              <w:rPr>
                <w:rFonts w:hint="eastAsia" w:asciiTheme="minorEastAsia" w:hAnsiTheme="minorEastAsia" w:eastAsiaTheme="minorEastAsia" w:cstheme="minorEastAsia"/>
                <w:bCs/>
                <w:kern w:val="0"/>
                <w:sz w:val="24"/>
                <w:szCs w:val="24"/>
              </w:rPr>
              <w:t>答：</w:t>
            </w:r>
          </w:p>
          <w:p>
            <w:pPr>
              <w:widowControl/>
              <w:adjustRightInd w:val="0"/>
              <w:snapToGrid w:val="0"/>
              <w:spacing w:line="400" w:lineRule="exact"/>
              <w:jc w:val="left"/>
              <w:rPr>
                <w:rFonts w:hint="eastAsia" w:asciiTheme="minorEastAsia" w:hAnsiTheme="minorEastAsia" w:eastAsiaTheme="minorEastAsia" w:cstheme="minorEastAsia"/>
                <w:kern w:val="0"/>
                <w:sz w:val="24"/>
                <w:szCs w:val="24"/>
              </w:rPr>
            </w:pPr>
          </w:p>
          <w:p>
            <w:pPr>
              <w:widowControl/>
              <w:adjustRightInd w:val="0"/>
              <w:snapToGrid w:val="0"/>
              <w:spacing w:line="400" w:lineRule="exact"/>
              <w:jc w:val="left"/>
              <w:rPr>
                <w:rFonts w:hint="eastAsia" w:asciiTheme="minorEastAsia" w:hAnsiTheme="minorEastAsia" w:eastAsiaTheme="minorEastAsia" w:cstheme="minorEastAsia"/>
                <w:kern w:val="0"/>
                <w:sz w:val="24"/>
                <w:szCs w:val="24"/>
              </w:rPr>
            </w:pPr>
          </w:p>
          <w:p>
            <w:pPr>
              <w:tabs>
                <w:tab w:val="left" w:pos="795"/>
              </w:tabs>
              <w:adjustRightInd w:val="0"/>
              <w:snapToGrid w:val="0"/>
              <w:spacing w:line="400" w:lineRule="exact"/>
              <w:ind w:left="3360" w:hanging="3360" w:hangingChars="14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被检查单位签字</w:t>
            </w:r>
            <w:r>
              <w:rPr>
                <w:rFonts w:hint="eastAsia" w:asciiTheme="minorEastAsia" w:hAnsiTheme="minorEastAsia" w:eastAsiaTheme="minorEastAsia" w:cstheme="minorEastAsia"/>
                <w:sz w:val="24"/>
                <w:szCs w:val="24"/>
                <w:lang w:eastAsia="zh-CN"/>
              </w:rPr>
              <w:t>或签章</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u w:val="single"/>
                <w:lang w:val="en-US" w:eastAsia="zh-CN"/>
              </w:rPr>
              <w:t xml:space="preserve">       </w:t>
            </w:r>
            <w:r>
              <w:rPr>
                <w:rFonts w:hint="eastAsia" w:asciiTheme="minorEastAsia" w:hAnsiTheme="minorEastAsia" w:eastAsiaTheme="minorEastAsia" w:cstheme="minorEastAsia"/>
                <w:sz w:val="24"/>
                <w:szCs w:val="24"/>
              </w:rPr>
              <w:t>检查人员签字：</w:t>
            </w:r>
            <w:r>
              <w:rPr>
                <w:rFonts w:hint="eastAsia" w:asciiTheme="minorEastAsia" w:hAnsiTheme="minorEastAsia" w:eastAsiaTheme="minorEastAsia" w:cstheme="minorEastAsia"/>
                <w:color w:val="000000"/>
                <w:kern w:val="0"/>
                <w:sz w:val="24"/>
                <w:szCs w:val="24"/>
                <w:u w:val="single"/>
                <w:lang w:val="en-US" w:eastAsia="zh-CN" w:bidi="ar"/>
              </w:rPr>
              <w:t xml:space="preserve">                                            </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u w:val="single"/>
                <w:lang w:val="en-US" w:eastAsia="zh-CN"/>
              </w:rPr>
              <w:t xml:space="preserve">      </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u w:val="single"/>
                <w:lang w:val="en-US" w:eastAsia="zh-CN"/>
              </w:rPr>
              <w:t xml:space="preserve">                          </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u w:val="single"/>
                <w:lang w:val="en-US" w:eastAsia="zh-CN"/>
              </w:rPr>
              <w:t xml:space="preserve">               </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u w:val="single"/>
              </w:rPr>
              <w:t xml:space="preserve">                                  </w:t>
            </w:r>
          </w:p>
          <w:p>
            <w:pPr>
              <w:widowControl/>
              <w:adjustRightInd w:val="0"/>
              <w:snapToGrid w:val="0"/>
              <w:spacing w:line="400" w:lineRule="exact"/>
              <w:jc w:val="left"/>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rPr>
              <w:t xml:space="preserve">                    </w:t>
            </w:r>
            <w:r>
              <w:rPr>
                <w:rFonts w:hint="eastAsia" w:asciiTheme="minorEastAsia" w:hAnsiTheme="minorEastAsia" w:eastAsiaTheme="minorEastAsia" w:cstheme="minorEastAsia"/>
                <w:kern w:val="0"/>
                <w:sz w:val="24"/>
                <w:szCs w:val="24"/>
                <w:lang w:val="en-US" w:eastAsia="zh-CN"/>
              </w:rPr>
              <w:t xml:space="preserve">   </w:t>
            </w:r>
            <w:r>
              <w:rPr>
                <w:rFonts w:hint="eastAsia" w:asciiTheme="minorEastAsia" w:hAnsiTheme="minorEastAsia" w:eastAsiaTheme="minorEastAsia" w:cstheme="minorEastAsia"/>
                <w:kern w:val="0"/>
                <w:sz w:val="24"/>
                <w:szCs w:val="24"/>
              </w:rPr>
              <w:t xml:space="preserve"> </w:t>
            </w:r>
            <w:r>
              <w:rPr>
                <w:rFonts w:hint="eastAsia" w:asciiTheme="minorEastAsia" w:hAnsiTheme="minorEastAsia" w:eastAsiaTheme="minorEastAsia" w:cstheme="minorEastAsia"/>
                <w:kern w:val="0"/>
                <w:sz w:val="24"/>
                <w:szCs w:val="24"/>
                <w:lang w:val="en-US" w:eastAsia="zh-CN"/>
              </w:rPr>
              <w:t xml:space="preserve">               </w:t>
            </w:r>
          </w:p>
          <w:p>
            <w:pPr>
              <w:widowControl/>
              <w:adjustRightInd w:val="0"/>
              <w:snapToGrid w:val="0"/>
              <w:spacing w:line="400" w:lineRule="exact"/>
              <w:ind w:firstLine="5040" w:firstLineChars="2100"/>
              <w:jc w:val="left"/>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szCs w:val="24"/>
              </w:rPr>
              <w:t xml:space="preserve">年    月    日                          </w:t>
            </w:r>
            <w:r>
              <w:rPr>
                <w:rFonts w:hint="eastAsia" w:asciiTheme="minorEastAsia" w:hAnsiTheme="minorEastAsia" w:eastAsiaTheme="minorEastAsia" w:cstheme="minorEastAsia"/>
                <w:kern w:val="0"/>
                <w:sz w:val="24"/>
                <w:szCs w:val="24"/>
                <w:lang w:val="en-US" w:eastAsia="zh-CN"/>
              </w:rPr>
              <w:t xml:space="preserve">  </w:t>
            </w:r>
            <w:r>
              <w:rPr>
                <w:rFonts w:hint="eastAsia" w:asciiTheme="minorEastAsia" w:hAnsiTheme="minorEastAsia" w:eastAsiaTheme="minorEastAsia" w:cstheme="minorEastAsia"/>
                <w:kern w:val="0"/>
                <w:sz w:val="24"/>
                <w:szCs w:val="24"/>
              </w:rPr>
              <w:t xml:space="preserve">   </w:t>
            </w:r>
            <w:r>
              <w:rPr>
                <w:rFonts w:hint="eastAsia" w:asciiTheme="minorEastAsia" w:hAnsiTheme="minorEastAsia" w:eastAsiaTheme="minorEastAsia" w:cstheme="minorEastAsia"/>
                <w:kern w:val="0"/>
                <w:sz w:val="24"/>
                <w:szCs w:val="24"/>
                <w:lang w:val="en-US" w:eastAsia="zh-CN"/>
              </w:rPr>
              <w:t xml:space="preserve">   </w:t>
            </w:r>
            <w:r>
              <w:rPr>
                <w:rFonts w:hint="eastAsia" w:asciiTheme="minorEastAsia" w:hAnsiTheme="minorEastAsia" w:eastAsiaTheme="minorEastAsia" w:cstheme="minorEastAsia"/>
                <w:kern w:val="0"/>
                <w:sz w:val="24"/>
                <w:szCs w:val="24"/>
              </w:rPr>
              <w:t xml:space="preserve"> </w:t>
            </w:r>
            <w:r>
              <w:rPr>
                <w:rFonts w:hint="eastAsia" w:asciiTheme="minorEastAsia" w:hAnsiTheme="minorEastAsia" w:eastAsiaTheme="minorEastAsia" w:cstheme="minorEastAsia"/>
                <w:kern w:val="0"/>
                <w:sz w:val="24"/>
                <w:szCs w:val="24"/>
                <w:lang w:val="en-US" w:eastAsia="zh-CN"/>
              </w:rPr>
              <w:t xml:space="preserve">       </w:t>
            </w:r>
            <w:r>
              <w:rPr>
                <w:rFonts w:hint="eastAsia" w:asciiTheme="minorEastAsia" w:hAnsiTheme="minorEastAsia" w:eastAsiaTheme="minorEastAsia" w:cstheme="minorEastAsia"/>
                <w:kern w:val="0"/>
                <w:sz w:val="24"/>
                <w:szCs w:val="24"/>
              </w:rPr>
              <w:t xml:space="preserve"> 年    月    日</w:t>
            </w:r>
          </w:p>
        </w:tc>
      </w:tr>
    </w:tbl>
    <w:p>
      <w:pPr>
        <w:adjustRightInd w:val="0"/>
        <w:snapToGrid w:val="0"/>
        <w:spacing w:line="580" w:lineRule="exact"/>
        <w:jc w:val="center"/>
        <w:rPr>
          <w:rFonts w:hint="eastAsia" w:ascii="方正小标宋简体" w:hAnsi="方正小标宋简体" w:eastAsia="方正小标宋简体" w:cs="方正小标宋简体"/>
          <w:b w:val="0"/>
          <w:bCs w:val="0"/>
          <w:sz w:val="44"/>
          <w:szCs w:val="44"/>
          <w:lang w:eastAsia="zh-CN"/>
        </w:rPr>
      </w:pPr>
      <w:r>
        <w:rPr>
          <w:rFonts w:hint="eastAsia" w:ascii="黑体" w:hAnsi="黑体" w:eastAsia="黑体"/>
          <w:sz w:val="32"/>
          <w:szCs w:val="32"/>
        </w:rPr>
        <w:t>告知页</w:t>
      </w:r>
    </w:p>
    <w:p>
      <w:pPr>
        <w:pStyle w:val="14"/>
        <w:keepNext/>
        <w:keepLines/>
        <w:pageBreakBefore w:val="0"/>
        <w:widowControl/>
        <w:numPr>
          <w:ilvl w:val="255"/>
          <w:numId w:val="0"/>
        </w:numPr>
        <w:kinsoku/>
        <w:wordWrap/>
        <w:overflowPunct/>
        <w:topLinePunct w:val="0"/>
        <w:autoSpaceDE/>
        <w:autoSpaceDN/>
        <w:bidi w:val="0"/>
        <w:adjustRightInd/>
        <w:snapToGrid/>
        <w:spacing w:after="0" w:line="594" w:lineRule="exact"/>
        <w:textAlignment w:val="auto"/>
        <w:rPr>
          <w:rFonts w:hint="eastAsia" w:ascii="方正小标宋简体" w:hAnsi="方正小标宋简体" w:eastAsia="方正小标宋简体" w:cs="方正小标宋简体"/>
          <w:b w:val="0"/>
          <w:bCs w:val="0"/>
          <w:color w:val="FF0000"/>
          <w:sz w:val="44"/>
          <w:szCs w:val="44"/>
          <w:lang w:val="en" w:eastAsia="zh-CN"/>
        </w:rPr>
      </w:pPr>
      <w:r>
        <w:rPr>
          <w:rFonts w:hint="eastAsia" w:ascii="方正小标宋简体" w:hAnsi="方正小标宋简体" w:eastAsia="方正小标宋简体" w:cs="方正小标宋简体"/>
          <w:b w:val="0"/>
          <w:bCs w:val="0"/>
          <w:sz w:val="44"/>
          <w:szCs w:val="44"/>
          <w:lang w:eastAsia="zh-CN"/>
        </w:rPr>
        <w:t>表</w:t>
      </w:r>
      <w:r>
        <w:rPr>
          <w:rFonts w:hint="eastAsia" w:ascii="方正小标宋简体" w:hAnsi="方正小标宋简体" w:eastAsia="方正小标宋简体" w:cs="方正小标宋简体"/>
          <w:b w:val="0"/>
          <w:bCs w:val="0"/>
          <w:sz w:val="44"/>
          <w:szCs w:val="44"/>
          <w:lang w:val="en-US" w:eastAsia="zh-CN"/>
        </w:rPr>
        <w:t xml:space="preserve">1-1  </w:t>
      </w:r>
      <w:r>
        <w:rPr>
          <w:rFonts w:hint="eastAsia" w:ascii="方正小标宋简体" w:hAnsi="方正小标宋简体" w:eastAsia="方正小标宋简体" w:cs="方正小标宋简体"/>
          <w:b w:val="0"/>
          <w:bCs w:val="0"/>
          <w:sz w:val="44"/>
          <w:szCs w:val="44"/>
        </w:rPr>
        <w:t>食品生产监督</w:t>
      </w:r>
      <w:r>
        <w:rPr>
          <w:rFonts w:hint="eastAsia" w:ascii="方正小标宋简体" w:hAnsi="方正小标宋简体" w:eastAsia="方正小标宋简体" w:cs="方正小标宋简体"/>
          <w:b w:val="0"/>
          <w:bCs w:val="0"/>
          <w:sz w:val="44"/>
          <w:szCs w:val="44"/>
          <w:lang w:eastAsia="zh-CN"/>
        </w:rPr>
        <w:t>检查</w:t>
      </w:r>
      <w:r>
        <w:rPr>
          <w:rFonts w:hint="eastAsia" w:ascii="方正小标宋简体" w:hAnsi="方正小标宋简体" w:eastAsia="方正小标宋简体" w:cs="方正小标宋简体"/>
          <w:b w:val="0"/>
          <w:bCs w:val="0"/>
          <w:sz w:val="44"/>
          <w:szCs w:val="44"/>
        </w:rPr>
        <w:t>要点表</w:t>
      </w:r>
      <w:bookmarkEnd w:id="0"/>
      <w:bookmarkEnd w:id="1"/>
      <w:bookmarkEnd w:id="2"/>
    </w:p>
    <w:p>
      <w:pPr>
        <w:pStyle w:val="26"/>
        <w:rPr>
          <w:rFonts w:hint="eastAsia" w:ascii="宋体" w:hAnsi="宋体" w:eastAsia="宋体" w:cs="宋体"/>
          <w:color w:val="auto"/>
          <w:sz w:val="24"/>
          <w:szCs w:val="24"/>
        </w:rPr>
      </w:pPr>
    </w:p>
    <w:p>
      <w:pPr>
        <w:pStyle w:val="26"/>
        <w:rPr>
          <w:rFonts w:hint="eastAsia" w:ascii="宋体" w:hAnsi="宋体" w:eastAsia="宋体" w:cs="宋体"/>
          <w:color w:val="auto"/>
          <w:sz w:val="24"/>
          <w:szCs w:val="24"/>
        </w:rPr>
      </w:pPr>
      <w:r>
        <w:rPr>
          <w:rFonts w:hint="eastAsia" w:ascii="宋体" w:hAnsi="宋体" w:eastAsia="宋体" w:cs="宋体"/>
          <w:color w:val="auto"/>
          <w:sz w:val="24"/>
          <w:szCs w:val="24"/>
        </w:rPr>
        <w:t>检查项目：重点项</w:t>
      </w:r>
      <w:r>
        <w:rPr>
          <w:rFonts w:hint="eastAsia" w:ascii="宋体" w:hAnsi="宋体" w:eastAsia="宋体" w:cs="宋体"/>
          <w:color w:val="auto"/>
          <w:sz w:val="24"/>
          <w:szCs w:val="24"/>
          <w:lang w:val="en-US" w:eastAsia="zh-CN"/>
        </w:rPr>
        <w:t>（*）</w:t>
      </w:r>
      <w:r>
        <w:rPr>
          <w:rFonts w:hint="eastAsia" w:cs="宋体"/>
          <w:color w:val="auto"/>
          <w:sz w:val="24"/>
          <w:szCs w:val="24"/>
          <w:lang w:val="en-US" w:eastAsia="zh-CN"/>
        </w:rPr>
        <w:t>34</w:t>
      </w:r>
      <w:r>
        <w:rPr>
          <w:rFonts w:hint="eastAsia" w:ascii="宋体" w:hAnsi="宋体" w:eastAsia="宋体" w:cs="宋体"/>
          <w:color w:val="auto"/>
          <w:sz w:val="24"/>
          <w:szCs w:val="24"/>
        </w:rPr>
        <w:t>项，一般项</w:t>
      </w:r>
      <w:r>
        <w:rPr>
          <w:rFonts w:hint="eastAsia" w:cs="宋体"/>
          <w:color w:val="auto"/>
          <w:sz w:val="24"/>
          <w:szCs w:val="24"/>
          <w:lang w:val="en-US" w:eastAsia="zh-CN"/>
        </w:rPr>
        <w:t>45</w:t>
      </w:r>
      <w:r>
        <w:rPr>
          <w:rFonts w:hint="eastAsia" w:ascii="宋体" w:hAnsi="宋体" w:eastAsia="宋体" w:cs="宋体"/>
          <w:color w:val="auto"/>
          <w:sz w:val="24"/>
          <w:szCs w:val="24"/>
        </w:rPr>
        <w:t>项，共</w:t>
      </w:r>
      <w:r>
        <w:rPr>
          <w:rFonts w:hint="eastAsia" w:ascii="宋体" w:hAnsi="宋体" w:eastAsia="宋体" w:cs="宋体"/>
          <w:color w:val="000000" w:themeColor="text1"/>
          <w:sz w:val="24"/>
          <w:szCs w:val="24"/>
          <w:lang w:val="en-US" w:eastAsia="zh-CN"/>
          <w14:textFill>
            <w14:solidFill>
              <w14:schemeClr w14:val="tx1"/>
            </w14:solidFill>
          </w14:textFill>
        </w:rPr>
        <w:t>79</w:t>
      </w:r>
      <w:r>
        <w:rPr>
          <w:rFonts w:hint="eastAsia" w:ascii="宋体" w:hAnsi="宋体" w:eastAsia="宋体" w:cs="宋体"/>
          <w:color w:val="auto"/>
          <w:sz w:val="24"/>
          <w:szCs w:val="24"/>
        </w:rPr>
        <w:t>项</w:t>
      </w:r>
      <w:r>
        <w:rPr>
          <w:rFonts w:hint="eastAsia" w:ascii="宋体" w:hAnsi="宋体" w:eastAsia="宋体" w:cs="宋体"/>
          <w:color w:val="auto"/>
          <w:sz w:val="24"/>
          <w:szCs w:val="24"/>
          <w:lang w:eastAsia="zh-CN"/>
        </w:rPr>
        <w:t>。</w:t>
      </w:r>
    </w:p>
    <w:p>
      <w:pPr>
        <w:pStyle w:val="26"/>
        <w:ind w:firstLine="1200" w:firstLineChars="500"/>
        <w:rPr>
          <w:rFonts w:hint="eastAsia" w:ascii="宋体" w:hAnsi="宋体" w:eastAsia="宋体" w:cs="宋体"/>
          <w:color w:val="auto"/>
          <w:sz w:val="24"/>
          <w:szCs w:val="24"/>
          <w:lang w:eastAsia="zh-CN"/>
        </w:rPr>
      </w:pPr>
      <w:r>
        <w:rPr>
          <w:rFonts w:hint="eastAsia" w:ascii="宋体" w:hAnsi="宋体" w:eastAsia="宋体" w:cs="宋体"/>
          <w:color w:val="auto"/>
          <w:sz w:val="24"/>
          <w:szCs w:val="24"/>
        </w:rPr>
        <w:t>食品通用检查项目：重点项</w:t>
      </w:r>
      <w:r>
        <w:rPr>
          <w:rFonts w:hint="eastAsia" w:ascii="宋体" w:hAnsi="宋体" w:eastAsia="宋体" w:cs="宋体"/>
          <w:color w:val="auto"/>
          <w:sz w:val="24"/>
          <w:szCs w:val="24"/>
          <w:lang w:val="en-US" w:eastAsia="zh-CN"/>
        </w:rPr>
        <w:t>（*）27</w:t>
      </w:r>
      <w:r>
        <w:rPr>
          <w:rFonts w:hint="eastAsia" w:ascii="宋体" w:hAnsi="宋体" w:eastAsia="宋体" w:cs="宋体"/>
          <w:color w:val="auto"/>
          <w:sz w:val="24"/>
          <w:szCs w:val="24"/>
        </w:rPr>
        <w:t>项，一般</w:t>
      </w:r>
      <w:r>
        <w:rPr>
          <w:rFonts w:hint="eastAsia" w:ascii="宋体" w:hAnsi="宋体" w:eastAsia="宋体" w:cs="宋体"/>
          <w:color w:val="000000" w:themeColor="text1"/>
          <w:sz w:val="24"/>
          <w:szCs w:val="24"/>
          <w14:textFill>
            <w14:solidFill>
              <w14:schemeClr w14:val="tx1"/>
            </w14:solidFill>
          </w14:textFill>
        </w:rPr>
        <w:t>项</w:t>
      </w:r>
      <w:r>
        <w:rPr>
          <w:rFonts w:hint="eastAsia" w:ascii="宋体" w:hAnsi="宋体" w:eastAsia="宋体" w:cs="宋体"/>
          <w:color w:val="000000" w:themeColor="text1"/>
          <w:sz w:val="24"/>
          <w:szCs w:val="24"/>
          <w:lang w:val="en-US" w:eastAsia="zh-CN"/>
          <w14:textFill>
            <w14:solidFill>
              <w14:schemeClr w14:val="tx1"/>
            </w14:solidFill>
          </w14:textFill>
        </w:rPr>
        <w:t>42</w:t>
      </w:r>
      <w:r>
        <w:rPr>
          <w:rFonts w:hint="eastAsia" w:ascii="宋体" w:hAnsi="宋体" w:eastAsia="宋体" w:cs="宋体"/>
          <w:color w:val="000000" w:themeColor="text1"/>
          <w:sz w:val="24"/>
          <w:szCs w:val="24"/>
          <w14:textFill>
            <w14:solidFill>
              <w14:schemeClr w14:val="tx1"/>
            </w14:solidFill>
          </w14:textFill>
        </w:rPr>
        <w:t>项，共</w:t>
      </w:r>
      <w:r>
        <w:rPr>
          <w:rFonts w:hint="eastAsia" w:ascii="宋体" w:hAnsi="宋体" w:eastAsia="宋体" w:cs="宋体"/>
          <w:color w:val="000000" w:themeColor="text1"/>
          <w:sz w:val="24"/>
          <w:szCs w:val="24"/>
          <w:lang w:val="en-US" w:eastAsia="zh-CN"/>
          <w14:textFill>
            <w14:solidFill>
              <w14:schemeClr w14:val="tx1"/>
            </w14:solidFill>
          </w14:textFill>
        </w:rPr>
        <w:t>69</w:t>
      </w:r>
      <w:r>
        <w:rPr>
          <w:rFonts w:hint="eastAsia" w:ascii="宋体" w:hAnsi="宋体" w:eastAsia="宋体" w:cs="宋体"/>
          <w:color w:val="000000" w:themeColor="text1"/>
          <w:sz w:val="24"/>
          <w:szCs w:val="24"/>
          <w14:textFill>
            <w14:solidFill>
              <w14:schemeClr w14:val="tx1"/>
            </w14:solidFill>
          </w14:textFill>
        </w:rPr>
        <w:t>项</w:t>
      </w:r>
      <w:r>
        <w:rPr>
          <w:rFonts w:hint="eastAsia" w:ascii="宋体" w:hAnsi="宋体" w:eastAsia="宋体" w:cs="宋体"/>
          <w:color w:val="000000" w:themeColor="text1"/>
          <w:sz w:val="24"/>
          <w:szCs w:val="24"/>
          <w:lang w:eastAsia="zh-CN"/>
          <w14:textFill>
            <w14:solidFill>
              <w14:schemeClr w14:val="tx1"/>
            </w14:solidFill>
          </w14:textFill>
        </w:rPr>
        <w:t>；</w:t>
      </w:r>
    </w:p>
    <w:p>
      <w:pPr>
        <w:pStyle w:val="26"/>
        <w:ind w:firstLine="1200" w:firstLineChars="5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特殊食品专用检查项目</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T</w:t>
      </w:r>
      <w:r>
        <w:rPr>
          <w:rFonts w:hint="eastAsia" w:cs="宋体"/>
          <w:color w:val="auto"/>
          <w:sz w:val="24"/>
          <w:szCs w:val="24"/>
          <w:lang w:val="en-US" w:eastAsia="zh-CN"/>
        </w:rPr>
        <w:t>）</w:t>
      </w:r>
      <w:r>
        <w:rPr>
          <w:rFonts w:hint="eastAsia" w:ascii="宋体" w:hAnsi="宋体" w:eastAsia="宋体" w:cs="宋体"/>
          <w:color w:val="auto"/>
          <w:sz w:val="24"/>
          <w:szCs w:val="24"/>
          <w:lang w:val="en-US" w:eastAsia="zh-CN"/>
        </w:rPr>
        <w:t>：重点项（*）7项，</w:t>
      </w:r>
      <w:r>
        <w:rPr>
          <w:rFonts w:hint="eastAsia" w:ascii="宋体" w:hAnsi="宋体" w:eastAsia="宋体" w:cs="宋体"/>
          <w:color w:val="auto"/>
          <w:sz w:val="24"/>
          <w:szCs w:val="24"/>
        </w:rPr>
        <w:t>一般项</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项，</w:t>
      </w:r>
      <w:r>
        <w:rPr>
          <w:rFonts w:hint="eastAsia" w:ascii="宋体" w:hAnsi="宋体" w:eastAsia="宋体" w:cs="宋体"/>
          <w:color w:val="auto"/>
          <w:sz w:val="24"/>
          <w:szCs w:val="24"/>
          <w:lang w:val="en-US" w:eastAsia="zh-CN"/>
        </w:rPr>
        <w:t>共10项。</w:t>
      </w:r>
    </w:p>
    <w:p>
      <w:pPr>
        <w:pStyle w:val="26"/>
        <w:jc w:val="both"/>
        <w:rPr>
          <w:rFonts w:hint="default"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auto"/>
          <w:sz w:val="24"/>
          <w:szCs w:val="24"/>
          <w:lang w:val="en-US" w:eastAsia="zh-CN"/>
        </w:rPr>
        <w:t>食品类别：</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cs="宋体"/>
          <w:color w:val="000000" w:themeColor="text1"/>
          <w:sz w:val="24"/>
          <w:szCs w:val="24"/>
          <w:u w:val="single"/>
          <w:lang w:val="en-US" w:eastAsia="zh-CN"/>
          <w14:textFill>
            <w14:solidFill>
              <w14:schemeClr w14:val="tx1"/>
            </w14:solidFill>
          </w14:textFill>
        </w:rPr>
        <w:t xml:space="preserve">      </w:t>
      </w:r>
    </w:p>
    <w:p>
      <w:pPr>
        <w:pStyle w:val="26"/>
        <w:jc w:val="both"/>
        <w:rPr>
          <w:rFonts w:hint="default" w:cs="宋体"/>
          <w:color w:val="000000" w:themeColor="text1"/>
          <w:sz w:val="24"/>
          <w:szCs w:val="24"/>
          <w:u w:val="single"/>
          <w:lang w:val="en-US" w:eastAsia="zh-CN"/>
          <w14:textFill>
            <w14:solidFill>
              <w14:schemeClr w14:val="tx1"/>
            </w14:solidFill>
          </w14:textFill>
        </w:rPr>
      </w:pPr>
    </w:p>
    <w:tbl>
      <w:tblPr>
        <w:tblStyle w:val="7"/>
        <w:tblW w:w="131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395"/>
        <w:gridCol w:w="1044"/>
        <w:gridCol w:w="5691"/>
        <w:gridCol w:w="1395"/>
        <w:gridCol w:w="1365"/>
        <w:gridCol w:w="1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101" w:type="dxa"/>
            <w:vAlign w:val="center"/>
          </w:tcPr>
          <w:p>
            <w:pPr>
              <w:pStyle w:val="22"/>
              <w:spacing w:line="240" w:lineRule="auto"/>
              <w:ind w:firstLine="0"/>
              <w:jc w:val="center"/>
              <w:rPr>
                <w:rFonts w:hint="eastAsia" w:ascii="黑体" w:hAnsi="黑体" w:eastAsia="黑体" w:cs="黑体"/>
                <w:color w:val="auto"/>
                <w:sz w:val="24"/>
                <w:szCs w:val="24"/>
                <w:lang w:eastAsia="zh-CN"/>
              </w:rPr>
            </w:pPr>
            <w:r>
              <w:rPr>
                <w:rFonts w:hint="eastAsia" w:ascii="黑体" w:hAnsi="黑体" w:eastAsia="黑体" w:cs="黑体"/>
                <w:color w:val="auto"/>
                <w:sz w:val="24"/>
                <w:szCs w:val="24"/>
                <w:lang w:eastAsia="zh-CN"/>
              </w:rPr>
              <w:t>序号</w:t>
            </w:r>
          </w:p>
        </w:tc>
        <w:tc>
          <w:tcPr>
            <w:tcW w:w="1395" w:type="dxa"/>
            <w:vAlign w:val="center"/>
          </w:tcPr>
          <w:p>
            <w:pPr>
              <w:pStyle w:val="22"/>
              <w:spacing w:line="240" w:lineRule="auto"/>
              <w:ind w:firstLine="0"/>
              <w:jc w:val="center"/>
              <w:rPr>
                <w:rFonts w:hint="eastAsia" w:ascii="黑体" w:hAnsi="黑体" w:eastAsia="黑体" w:cs="黑体"/>
                <w:color w:val="auto"/>
                <w:sz w:val="24"/>
                <w:szCs w:val="24"/>
              </w:rPr>
            </w:pPr>
            <w:r>
              <w:rPr>
                <w:rFonts w:hint="eastAsia" w:ascii="黑体" w:hAnsi="黑体" w:eastAsia="黑体" w:cs="黑体"/>
                <w:color w:val="auto"/>
                <w:sz w:val="24"/>
                <w:szCs w:val="24"/>
              </w:rPr>
              <w:t>检查项目</w:t>
            </w:r>
          </w:p>
        </w:tc>
        <w:tc>
          <w:tcPr>
            <w:tcW w:w="1044" w:type="dxa"/>
            <w:vAlign w:val="center"/>
          </w:tcPr>
          <w:p>
            <w:pPr>
              <w:pStyle w:val="22"/>
              <w:spacing w:line="240" w:lineRule="auto"/>
              <w:ind w:firstLine="0"/>
              <w:jc w:val="center"/>
              <w:rPr>
                <w:rFonts w:hint="eastAsia" w:ascii="黑体" w:hAnsi="黑体" w:eastAsia="黑体" w:cs="黑体"/>
                <w:color w:val="auto"/>
                <w:sz w:val="24"/>
                <w:szCs w:val="24"/>
              </w:rPr>
            </w:pPr>
            <w:r>
              <w:rPr>
                <w:rFonts w:hint="eastAsia" w:ascii="黑体" w:hAnsi="黑体" w:eastAsia="黑体" w:cs="黑体"/>
                <w:color w:val="auto"/>
                <w:sz w:val="24"/>
                <w:szCs w:val="24"/>
              </w:rPr>
              <w:t>项目</w:t>
            </w:r>
          </w:p>
          <w:p>
            <w:pPr>
              <w:pStyle w:val="22"/>
              <w:spacing w:line="240" w:lineRule="auto"/>
              <w:ind w:firstLine="0"/>
              <w:jc w:val="center"/>
              <w:rPr>
                <w:rFonts w:hint="eastAsia" w:ascii="黑体" w:hAnsi="黑体" w:eastAsia="黑体" w:cs="黑体"/>
                <w:color w:val="auto"/>
                <w:sz w:val="24"/>
                <w:szCs w:val="24"/>
              </w:rPr>
            </w:pPr>
            <w:r>
              <w:rPr>
                <w:rFonts w:hint="eastAsia" w:ascii="黑体" w:hAnsi="黑体" w:eastAsia="黑体" w:cs="黑体"/>
                <w:color w:val="auto"/>
                <w:sz w:val="24"/>
                <w:szCs w:val="24"/>
              </w:rPr>
              <w:t>序号</w:t>
            </w:r>
          </w:p>
        </w:tc>
        <w:tc>
          <w:tcPr>
            <w:tcW w:w="5691" w:type="dxa"/>
            <w:vAlign w:val="center"/>
          </w:tcPr>
          <w:p>
            <w:pPr>
              <w:pStyle w:val="22"/>
              <w:spacing w:line="240" w:lineRule="auto"/>
              <w:ind w:firstLine="0"/>
              <w:jc w:val="center"/>
              <w:rPr>
                <w:rFonts w:hint="eastAsia" w:ascii="黑体" w:hAnsi="黑体" w:eastAsia="黑体" w:cs="黑体"/>
                <w:color w:val="auto"/>
                <w:sz w:val="24"/>
                <w:szCs w:val="24"/>
              </w:rPr>
            </w:pPr>
            <w:r>
              <w:rPr>
                <w:rFonts w:hint="eastAsia" w:ascii="黑体" w:hAnsi="黑体" w:eastAsia="黑体" w:cs="黑体"/>
                <w:color w:val="auto"/>
                <w:sz w:val="24"/>
                <w:szCs w:val="24"/>
                <w:lang w:eastAsia="zh-CN"/>
              </w:rPr>
              <w:t>监督</w:t>
            </w:r>
            <w:r>
              <w:rPr>
                <w:rFonts w:hint="eastAsia" w:ascii="黑体" w:hAnsi="黑体" w:eastAsia="黑体" w:cs="黑体"/>
                <w:color w:val="auto"/>
                <w:sz w:val="24"/>
                <w:szCs w:val="24"/>
              </w:rPr>
              <w:t>检查内容</w:t>
            </w:r>
          </w:p>
        </w:tc>
        <w:tc>
          <w:tcPr>
            <w:tcW w:w="1395" w:type="dxa"/>
            <w:vAlign w:val="center"/>
          </w:tcPr>
          <w:p>
            <w:pPr>
              <w:pStyle w:val="22"/>
              <w:spacing w:line="240" w:lineRule="auto"/>
              <w:ind w:firstLine="0"/>
              <w:jc w:val="center"/>
              <w:rPr>
                <w:rFonts w:hint="eastAsia" w:ascii="黑体" w:hAnsi="黑体" w:eastAsia="黑体" w:cs="黑体"/>
                <w:color w:val="auto"/>
                <w:sz w:val="24"/>
                <w:szCs w:val="24"/>
              </w:rPr>
            </w:pPr>
            <w:r>
              <w:rPr>
                <w:rFonts w:hint="eastAsia" w:ascii="黑体" w:hAnsi="黑体" w:eastAsia="黑体" w:cs="黑体"/>
                <w:color w:val="auto"/>
                <w:sz w:val="24"/>
                <w:szCs w:val="24"/>
              </w:rPr>
              <w:t>评价</w:t>
            </w:r>
          </w:p>
        </w:tc>
        <w:tc>
          <w:tcPr>
            <w:tcW w:w="1365" w:type="dxa"/>
            <w:vAlign w:val="center"/>
          </w:tcPr>
          <w:p>
            <w:pPr>
              <w:pStyle w:val="22"/>
              <w:spacing w:line="240" w:lineRule="auto"/>
              <w:ind w:firstLine="0"/>
              <w:jc w:val="center"/>
              <w:rPr>
                <w:rFonts w:hint="eastAsia" w:ascii="黑体" w:hAnsi="黑体" w:eastAsia="黑体" w:cs="黑体"/>
                <w:color w:val="auto"/>
                <w:sz w:val="24"/>
                <w:szCs w:val="24"/>
                <w:lang w:eastAsia="zh-CN"/>
              </w:rPr>
            </w:pPr>
            <w:r>
              <w:rPr>
                <w:rFonts w:hint="eastAsia" w:ascii="黑体" w:hAnsi="黑体" w:eastAsia="黑体" w:cs="黑体"/>
                <w:color w:val="auto"/>
                <w:sz w:val="24"/>
                <w:szCs w:val="24"/>
                <w:lang w:eastAsia="zh-CN"/>
              </w:rPr>
              <w:t>发现问题食品类别</w:t>
            </w:r>
          </w:p>
        </w:tc>
        <w:tc>
          <w:tcPr>
            <w:tcW w:w="1202" w:type="dxa"/>
            <w:vAlign w:val="center"/>
          </w:tcPr>
          <w:p>
            <w:pPr>
              <w:pStyle w:val="22"/>
              <w:spacing w:line="240" w:lineRule="auto"/>
              <w:ind w:firstLine="0"/>
              <w:jc w:val="center"/>
              <w:rPr>
                <w:rFonts w:hint="eastAsia" w:ascii="黑体" w:hAnsi="黑体" w:eastAsia="黑体" w:cs="黑体"/>
                <w:color w:val="auto"/>
                <w:sz w:val="24"/>
                <w:szCs w:val="24"/>
              </w:rPr>
            </w:pPr>
            <w:r>
              <w:rPr>
                <w:rFonts w:hint="eastAsia" w:ascii="黑体" w:hAnsi="黑体" w:eastAsia="黑体" w:cs="黑体"/>
                <w:color w:val="auto"/>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pPr>
              <w:pStyle w:val="26"/>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w:t>
            </w:r>
          </w:p>
        </w:tc>
        <w:tc>
          <w:tcPr>
            <w:tcW w:w="1395" w:type="dxa"/>
            <w:vMerge w:val="restart"/>
            <w:vAlign w:val="center"/>
          </w:tcPr>
          <w:p>
            <w:pPr>
              <w:pStyle w:val="26"/>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食品生产者资质</w:t>
            </w: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eastAsia="zh-CN"/>
              </w:rPr>
              <w:t>*1.1</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具有合法主体资质，生产许可证在有效期内。</w:t>
            </w:r>
          </w:p>
        </w:tc>
        <w:tc>
          <w:tcPr>
            <w:tcW w:w="1395" w:type="dxa"/>
            <w:vAlign w:val="center"/>
          </w:tcPr>
          <w:p>
            <w:pPr>
              <w:pStyle w:val="26"/>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lang w:val="en-US" w:eastAsia="zh-CN"/>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lang w:val="en-US" w:eastAsia="zh-CN"/>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1.2</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生产的食品、食品添加剂在许可范围内。</w:t>
            </w:r>
          </w:p>
        </w:tc>
        <w:tc>
          <w:tcPr>
            <w:tcW w:w="1395" w:type="dxa"/>
            <w:vAlign w:val="center"/>
          </w:tcPr>
          <w:p>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eastAsia="zh-CN"/>
              </w:rPr>
              <w:t>*T.1</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实际生产的特殊食品按规定注册或备案，注册证书或备案凭证符合要求。</w:t>
            </w:r>
          </w:p>
        </w:tc>
        <w:tc>
          <w:tcPr>
            <w:tcW w:w="1395" w:type="dxa"/>
            <w:vAlign w:val="center"/>
          </w:tcPr>
          <w:p>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center"/>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pPr>
              <w:pStyle w:val="26"/>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w:t>
            </w:r>
          </w:p>
        </w:tc>
        <w:tc>
          <w:tcPr>
            <w:tcW w:w="1395" w:type="dxa"/>
            <w:vMerge w:val="restart"/>
            <w:vAlign w:val="center"/>
          </w:tcPr>
          <w:p>
            <w:pPr>
              <w:pStyle w:val="26"/>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生产环境条件</w:t>
            </w:r>
            <w:r>
              <w:rPr>
                <w:rFonts w:hint="eastAsia" w:asciiTheme="minorEastAsia" w:hAnsiTheme="minorEastAsia" w:eastAsiaTheme="minorEastAsia" w:cstheme="minorEastAsia"/>
                <w:color w:val="auto"/>
                <w:sz w:val="24"/>
                <w:szCs w:val="24"/>
                <w:lang w:eastAsia="zh-CN"/>
              </w:rPr>
              <w:t>（厂区、车间、设施、设备）</w:t>
            </w: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2.1</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厂区无扬尘、无积水，厂区、车间卫生整洁。</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en-US" w:bidi="en-US"/>
              </w:rPr>
            </w:pPr>
            <w:r>
              <w:rPr>
                <w:rFonts w:hint="eastAsia" w:asciiTheme="minorEastAsia" w:hAnsiTheme="minorEastAsia" w:eastAsiaTheme="minorEastAsia" w:cstheme="minorEastAsia"/>
                <w:color w:val="auto"/>
                <w:sz w:val="24"/>
                <w:szCs w:val="24"/>
                <w:lang w:eastAsia="zh-CN"/>
              </w:rPr>
              <w:t>*2.2</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eastAsia="zh-CN"/>
              </w:rPr>
              <w:t>厂区、车间与有毒、有害场所及其他污染源保持</w:t>
            </w:r>
            <w:r>
              <w:rPr>
                <w:rFonts w:hint="eastAsia" w:asciiTheme="minorEastAsia" w:hAnsiTheme="minorEastAsia" w:eastAsiaTheme="minorEastAsia" w:cstheme="minorEastAsia"/>
                <w:color w:val="auto"/>
                <w:sz w:val="24"/>
                <w:szCs w:val="24"/>
                <w:highlight w:val="none"/>
                <w:lang w:eastAsia="zh-CN"/>
              </w:rPr>
              <w:t>规定的距离</w:t>
            </w:r>
            <w:r>
              <w:rPr>
                <w:rFonts w:hint="eastAsia" w:asciiTheme="minorEastAsia" w:hAnsiTheme="minorEastAsia" w:eastAsiaTheme="minorEastAsia" w:cstheme="minorEastAsia"/>
                <w:color w:val="auto"/>
                <w:sz w:val="24"/>
                <w:szCs w:val="24"/>
                <w:lang w:eastAsia="zh-CN"/>
              </w:rPr>
              <w:t>或具备有效防范措施。</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2.3</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设备布局和工艺流程、主要生产设备设施与准予食品生产许可时</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保持一致。</w:t>
            </w:r>
          </w:p>
        </w:tc>
        <w:tc>
          <w:tcPr>
            <w:tcW w:w="1395" w:type="dxa"/>
            <w:vAlign w:val="center"/>
          </w:tcPr>
          <w:p>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2.</w:t>
            </w:r>
            <w:r>
              <w:rPr>
                <w:rFonts w:hint="eastAsia" w:asciiTheme="minorEastAsia" w:hAnsiTheme="minorEastAsia" w:eastAsiaTheme="minorEastAsia" w:cstheme="minorEastAsia"/>
                <w:color w:val="auto"/>
                <w:sz w:val="24"/>
                <w:szCs w:val="24"/>
                <w:lang w:val="en-US" w:eastAsia="zh-CN"/>
              </w:rPr>
              <w:t>4</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卫生间保持清洁，未与食品生产、包装或贮存等区域直接连通。</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2.</w:t>
            </w:r>
            <w:r>
              <w:rPr>
                <w:rFonts w:hint="eastAsia" w:asciiTheme="minorEastAsia" w:hAnsiTheme="minorEastAsia" w:eastAsiaTheme="minorEastAsia" w:cstheme="minorEastAsia"/>
                <w:color w:val="auto"/>
                <w:sz w:val="24"/>
                <w:szCs w:val="24"/>
                <w:lang w:val="en-US" w:eastAsia="zh-CN"/>
              </w:rPr>
              <w:t>5</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有更衣、洗手、干手、消毒等卫生设备设施，满足正常使用。</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2.</w:t>
            </w:r>
            <w:r>
              <w:rPr>
                <w:rFonts w:hint="eastAsia" w:asciiTheme="minorEastAsia" w:hAnsiTheme="minorEastAsia" w:eastAsiaTheme="minorEastAsia" w:cstheme="minorEastAsia"/>
                <w:color w:val="auto"/>
                <w:sz w:val="24"/>
                <w:szCs w:val="24"/>
                <w:lang w:val="en-US" w:eastAsia="zh-CN"/>
              </w:rPr>
              <w:t>6</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通风、防尘、排水、照明、温控等设备设施正常运行，存放垃圾、废弃物的设备设施标识清晰，</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有效防护。</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2.7</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车间内使用的洗涤剂、消毒剂等化学品明显标示、分类贮存，</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与食品原料、半成品、成品、包装材料等分隔放置，并有相应的使用记录。</w:t>
            </w:r>
          </w:p>
        </w:tc>
        <w:tc>
          <w:tcPr>
            <w:tcW w:w="1395" w:type="dxa"/>
            <w:vAlign w:val="center"/>
          </w:tcPr>
          <w:p>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2.</w:t>
            </w:r>
            <w:r>
              <w:rPr>
                <w:rFonts w:hint="eastAsia" w:asciiTheme="minorEastAsia" w:hAnsiTheme="minorEastAsia" w:eastAsiaTheme="minorEastAsia" w:cstheme="minorEastAsia"/>
                <w:color w:val="auto"/>
                <w:sz w:val="24"/>
                <w:szCs w:val="24"/>
                <w:lang w:val="en-US" w:eastAsia="zh-CN"/>
              </w:rPr>
              <w:t>8</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生产设备设施定期维护保养，并有相应的记录。</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en-US" w:bidi="en-US"/>
              </w:rPr>
            </w:pPr>
            <w:r>
              <w:rPr>
                <w:rFonts w:hint="eastAsia" w:asciiTheme="minorEastAsia" w:hAnsiTheme="minorEastAsia" w:eastAsiaTheme="minorEastAsia" w:cstheme="minorEastAsia"/>
                <w:color w:val="auto"/>
                <w:sz w:val="24"/>
                <w:szCs w:val="24"/>
                <w:lang w:eastAsia="zh-CN"/>
              </w:rPr>
              <w:t>2.</w:t>
            </w:r>
            <w:r>
              <w:rPr>
                <w:rFonts w:hint="eastAsia" w:asciiTheme="minorEastAsia" w:hAnsiTheme="minorEastAsia" w:eastAsiaTheme="minorEastAsia" w:cstheme="minorEastAsia"/>
                <w:color w:val="auto"/>
                <w:sz w:val="24"/>
                <w:szCs w:val="24"/>
                <w:lang w:val="en-US" w:eastAsia="zh-CN"/>
              </w:rPr>
              <w:t>9</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监控设备（如压力表、温度计）定期检定或校准、维护，并有相关记录。</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en-US" w:bidi="en-US"/>
              </w:rPr>
            </w:pPr>
            <w:r>
              <w:rPr>
                <w:rFonts w:hint="eastAsia" w:asciiTheme="minorEastAsia" w:hAnsiTheme="minorEastAsia" w:eastAsiaTheme="minorEastAsia" w:cstheme="minorEastAsia"/>
                <w:color w:val="auto"/>
                <w:sz w:val="24"/>
                <w:szCs w:val="24"/>
                <w:lang w:eastAsia="zh-CN"/>
              </w:rPr>
              <w:t>2.</w:t>
            </w:r>
            <w:r>
              <w:rPr>
                <w:rFonts w:hint="eastAsia" w:asciiTheme="minorEastAsia" w:hAnsiTheme="minorEastAsia" w:eastAsiaTheme="minorEastAsia" w:cstheme="minorEastAsia"/>
                <w:color w:val="auto"/>
                <w:sz w:val="24"/>
                <w:szCs w:val="24"/>
                <w:lang w:val="en-US" w:eastAsia="zh-CN"/>
              </w:rPr>
              <w:t>10</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定期检查防鼠、防蝇、防虫害装置的使用情况并有相应检查记录，生产场所无虫害迹象。</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2.11</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准清洁作业区、清洁作业区设置合理并有效分割。</w:t>
            </w:r>
            <w:r>
              <w:rPr>
                <w:rFonts w:hint="eastAsia" w:asciiTheme="minorEastAsia" w:hAnsiTheme="minorEastAsia" w:eastAsiaTheme="minorEastAsia" w:cstheme="minorEastAsia"/>
                <w:color w:val="000000" w:themeColor="text1"/>
                <w:sz w:val="24"/>
                <w:szCs w:val="24"/>
                <w14:textFill>
                  <w14:solidFill>
                    <w14:schemeClr w14:val="tx1"/>
                  </w14:solidFill>
                </w14:textFill>
              </w:rPr>
              <w:t>有空气净化要求的</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，应当符合相应要求，并对空气洁净度、压差、换气次数、温度、湿度等进行监测及记录。</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center"/>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pPr>
              <w:pStyle w:val="26"/>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3</w:t>
            </w:r>
          </w:p>
        </w:tc>
        <w:tc>
          <w:tcPr>
            <w:tcW w:w="1395" w:type="dxa"/>
            <w:vMerge w:val="restart"/>
            <w:vAlign w:val="center"/>
          </w:tcPr>
          <w:p>
            <w:pPr>
              <w:pStyle w:val="22"/>
              <w:spacing w:line="314" w:lineRule="exact"/>
              <w:ind w:firstLine="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rPr>
              <w:t>进货查验</w:t>
            </w: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*3.1</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查验食品原料、食品添加剂、食品相关产品供货者的许可证、产品合格证明文件等；供货者无法提供有效合格证明文件的，有检验记录。</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lang w:val="en-US" w:eastAsia="zh-CN" w:bidi="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lang w:eastAsia="zh-CN"/>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eastAsia="zh-CN"/>
              </w:rPr>
              <w:t>*3.2</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进货查验记录及证明材料真实、完整，记录和凭证保存期限符合要求。</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lang w:val="zh-TW" w:eastAsia="zh-TW" w:bidi="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lang w:eastAsia="zh-CN"/>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3.3</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建立和保存食品原料、食品添加剂、食品相关产品的贮存、保管记录、领用出库和退库记录。</w:t>
            </w:r>
          </w:p>
        </w:tc>
        <w:tc>
          <w:tcPr>
            <w:tcW w:w="1395" w:type="dxa"/>
            <w:vAlign w:val="center"/>
          </w:tcPr>
          <w:p>
            <w:pPr>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lang w:val="zh-TW" w:eastAsia="zh-TW" w:bidi="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lang w:eastAsia="zh-CN"/>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*T.</w:t>
            </w:r>
            <w:r>
              <w:rPr>
                <w:rFonts w:hint="eastAsia" w:asciiTheme="minorEastAsia" w:hAnsiTheme="minorEastAsia" w:eastAsiaTheme="minorEastAsia" w:cstheme="minorEastAsia"/>
                <w:color w:val="auto"/>
                <w:sz w:val="24"/>
                <w:szCs w:val="24"/>
                <w:lang w:val="en-US" w:eastAsia="zh-CN"/>
              </w:rPr>
              <w:t>2</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生产特殊食品使用的原料、食品添加剂与注册或备案的技术要求一致。</w:t>
            </w:r>
          </w:p>
        </w:tc>
        <w:tc>
          <w:tcPr>
            <w:tcW w:w="1395" w:type="dxa"/>
            <w:vAlign w:val="center"/>
          </w:tcPr>
          <w:p>
            <w:pPr>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center"/>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pPr>
              <w:pStyle w:val="26"/>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4</w:t>
            </w:r>
          </w:p>
        </w:tc>
        <w:tc>
          <w:tcPr>
            <w:tcW w:w="1395" w:type="dxa"/>
            <w:vMerge w:val="restart"/>
            <w:vAlign w:val="center"/>
          </w:tcPr>
          <w:p>
            <w:pPr>
              <w:pStyle w:val="22"/>
              <w:spacing w:line="308" w:lineRule="exact"/>
              <w:ind w:firstLine="0"/>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生产过程控制</w:t>
            </w: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*4.1</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使用的食品原料、食品添加剂、食品相关产品的品种与索证索票、进货查验记录内容一致。</w:t>
            </w:r>
          </w:p>
        </w:tc>
        <w:tc>
          <w:tcPr>
            <w:tcW w:w="1395" w:type="dxa"/>
            <w:vAlign w:val="center"/>
          </w:tcPr>
          <w:p>
            <w:pPr>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lang w:val="en-US" w:eastAsia="zh-CN" w:bidi="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FF0000"/>
                <w:sz w:val="24"/>
                <w:szCs w:val="24"/>
                <w:lang w:val="en-US" w:eastAsia="zh-CN"/>
              </w:rPr>
            </w:pPr>
          </w:p>
        </w:tc>
        <w:tc>
          <w:tcPr>
            <w:tcW w:w="1395" w:type="dxa"/>
            <w:vMerge w:val="continue"/>
            <w:vAlign w:val="center"/>
          </w:tcPr>
          <w:p>
            <w:pPr>
              <w:pStyle w:val="26"/>
              <w:jc w:val="center"/>
              <w:rPr>
                <w:rFonts w:hint="eastAsia" w:asciiTheme="minorEastAsia" w:hAnsiTheme="minorEastAsia" w:eastAsiaTheme="minorEastAsia" w:cstheme="minorEastAsia"/>
                <w:color w:val="FF0000"/>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*4.2</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建立和保存生产投料记录，包括投料品名、生产日期或批号、使用数量等。</w:t>
            </w:r>
          </w:p>
        </w:tc>
        <w:tc>
          <w:tcPr>
            <w:tcW w:w="1395" w:type="dxa"/>
            <w:vAlign w:val="center"/>
          </w:tcPr>
          <w:p>
            <w:pPr>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FF0000"/>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lang w:val="zh-TW" w:eastAsia="zh-CN" w:bidi="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FF0000"/>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FF0000"/>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w:t>
            </w:r>
            <w:r>
              <w:rPr>
                <w:rFonts w:hint="eastAsia" w:asciiTheme="minorEastAsia" w:hAnsiTheme="minorEastAsia" w:eastAsiaTheme="minorEastAsia" w:cstheme="minorEastAsia"/>
                <w:color w:val="auto"/>
                <w:sz w:val="24"/>
                <w:szCs w:val="24"/>
                <w:lang w:val="en-US" w:eastAsia="zh-CN"/>
              </w:rPr>
              <w:t>3</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未发现使用非食品原料、食品添加剂以外的化学物质、回收食品、超过保质期与不符合食品安全标准的食品原料和食品添加剂投入生产。</w:t>
            </w:r>
          </w:p>
        </w:tc>
        <w:tc>
          <w:tcPr>
            <w:tcW w:w="1395" w:type="dxa"/>
            <w:vAlign w:val="center"/>
          </w:tcPr>
          <w:p>
            <w:pPr>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FF0000"/>
                <w:sz w:val="24"/>
                <w:szCs w:val="24"/>
              </w:rPr>
            </w:pPr>
          </w:p>
        </w:tc>
        <w:tc>
          <w:tcPr>
            <w:tcW w:w="1202" w:type="dxa"/>
            <w:vAlign w:val="center"/>
          </w:tcPr>
          <w:p>
            <w:pPr>
              <w:pStyle w:val="26"/>
              <w:jc w:val="both"/>
              <w:rPr>
                <w:rFonts w:hint="eastAsia" w:asciiTheme="minorEastAsia" w:hAnsiTheme="minorEastAsia" w:eastAsiaTheme="minorEastAsia" w:cstheme="minorEastAsia"/>
                <w:color w:val="FF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w:t>
            </w:r>
            <w:r>
              <w:rPr>
                <w:rFonts w:hint="eastAsia" w:asciiTheme="minorEastAsia" w:hAnsiTheme="minorEastAsia" w:eastAsiaTheme="minorEastAsia" w:cstheme="minorEastAsia"/>
                <w:color w:val="auto"/>
                <w:sz w:val="24"/>
                <w:szCs w:val="24"/>
                <w:lang w:val="en-US" w:eastAsia="zh-CN"/>
              </w:rPr>
              <w:t>4</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未发现超范围、超限量使用食品添加剂的情况。</w:t>
            </w:r>
          </w:p>
        </w:tc>
        <w:tc>
          <w:tcPr>
            <w:tcW w:w="1395" w:type="dxa"/>
            <w:vAlign w:val="center"/>
          </w:tcPr>
          <w:p>
            <w:pPr>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w:t>
            </w:r>
            <w:r>
              <w:rPr>
                <w:rFonts w:hint="eastAsia" w:asciiTheme="minorEastAsia" w:hAnsiTheme="minorEastAsia" w:eastAsiaTheme="minorEastAsia" w:cstheme="minorEastAsia"/>
                <w:color w:val="auto"/>
                <w:sz w:val="24"/>
                <w:szCs w:val="24"/>
                <w:lang w:val="en-US" w:eastAsia="zh-CN"/>
              </w:rPr>
              <w:t>5</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生产或使用的新食品原料，限定于国务院卫生行政部门公吿的新食品原料范围内。</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w:t>
            </w:r>
            <w:r>
              <w:rPr>
                <w:rFonts w:hint="eastAsia" w:asciiTheme="minorEastAsia" w:hAnsiTheme="minorEastAsia" w:eastAsiaTheme="minorEastAsia" w:cstheme="minorEastAsia"/>
                <w:color w:val="auto"/>
                <w:sz w:val="24"/>
                <w:szCs w:val="24"/>
                <w:lang w:val="en-US" w:eastAsia="zh-CN"/>
              </w:rPr>
              <w:t>6</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未发现使用药品生产食品，未发现仅用于保健食品的原料生产保健食品以外的食品。</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numPr>
                <w:ilvl w:val="-1"/>
                <w:numId w:val="0"/>
              </w:numPr>
              <w:jc w:val="both"/>
              <w:rPr>
                <w:rFonts w:hint="eastAsia" w:asciiTheme="minorEastAsia" w:hAnsiTheme="minorEastAsia" w:eastAsiaTheme="minorEastAsia" w:cstheme="minorEastAsia"/>
                <w:color w:val="auto"/>
                <w:sz w:val="24"/>
                <w:szCs w:val="24"/>
                <w:lang w:val="en-US" w:eastAsia="zh-CN" w:bidi="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w:t>
            </w:r>
            <w:r>
              <w:rPr>
                <w:rFonts w:hint="eastAsia" w:asciiTheme="minorEastAsia" w:hAnsiTheme="minorEastAsia" w:eastAsiaTheme="minorEastAsia" w:cstheme="minorEastAsia"/>
                <w:color w:val="auto"/>
                <w:sz w:val="24"/>
                <w:szCs w:val="24"/>
                <w:lang w:val="en-US" w:eastAsia="zh-CN"/>
              </w:rPr>
              <w:t>7</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生产记录中的生产工艺和参数与准予食品生产许可时保持一致。</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w:t>
            </w:r>
            <w:r>
              <w:rPr>
                <w:rFonts w:hint="eastAsia" w:asciiTheme="minorEastAsia" w:hAnsiTheme="minorEastAsia" w:eastAsiaTheme="minorEastAsia" w:cstheme="minorEastAsia"/>
                <w:color w:val="auto"/>
                <w:sz w:val="24"/>
                <w:szCs w:val="24"/>
                <w:lang w:val="en-US" w:eastAsia="zh-CN"/>
              </w:rPr>
              <w:t>8</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建立和保存生产加工过程关键控制点的控制情况记录。</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lang w:val="zh-TW" w:eastAsia="zh-TW" w:bidi="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w:t>
            </w:r>
            <w:r>
              <w:rPr>
                <w:rFonts w:hint="eastAsia" w:asciiTheme="minorEastAsia" w:hAnsiTheme="minorEastAsia" w:eastAsiaTheme="minorEastAsia" w:cstheme="minorEastAsia"/>
                <w:color w:val="auto"/>
                <w:sz w:val="24"/>
                <w:szCs w:val="24"/>
                <w:lang w:val="en-US" w:eastAsia="zh-CN"/>
              </w:rPr>
              <w:t>9</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生产现场未发现人流、物流交叉污染。</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lang w:val="zh-TW" w:eastAsia="zh-TW" w:bidi="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4.1</w:t>
            </w:r>
            <w:r>
              <w:rPr>
                <w:rFonts w:hint="eastAsia" w:asciiTheme="minorEastAsia" w:hAnsiTheme="minorEastAsia" w:eastAsiaTheme="minorEastAsia" w:cstheme="minorEastAsia"/>
                <w:color w:val="auto"/>
                <w:sz w:val="24"/>
                <w:szCs w:val="24"/>
                <w:lang w:val="en-US" w:eastAsia="zh-CN"/>
              </w:rPr>
              <w:t>0</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zh-TW"/>
                <w14:textFill>
                  <w14:solidFill>
                    <w14:schemeClr w14:val="tx1"/>
                  </w14:solidFill>
                </w14:textFill>
              </w:rPr>
              <w:t>未发现待加工食品与直接入口食品、原料与成品交叉污染。</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lang w:val="zh-TW" w:eastAsia="zh-TW" w:bidi="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4.1</w:t>
            </w:r>
            <w:r>
              <w:rPr>
                <w:rFonts w:hint="eastAsia" w:asciiTheme="minorEastAsia" w:hAnsiTheme="minorEastAsia" w:eastAsiaTheme="minorEastAsia" w:cstheme="minorEastAsia"/>
                <w:color w:val="auto"/>
                <w:sz w:val="24"/>
                <w:szCs w:val="24"/>
                <w:lang w:val="en-US" w:eastAsia="zh-CN"/>
              </w:rPr>
              <w:t>1</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有温、湿度等生产环境监测要求的，定期进行监测并记录。</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lang w:val="zh-TW" w:eastAsia="zh-TW" w:bidi="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4.1</w:t>
            </w:r>
            <w:r>
              <w:rPr>
                <w:rFonts w:hint="eastAsia" w:asciiTheme="minorEastAsia" w:hAnsiTheme="minorEastAsia" w:eastAsiaTheme="minorEastAsia" w:cstheme="minorEastAsia"/>
                <w:color w:val="auto"/>
                <w:sz w:val="24"/>
                <w:szCs w:val="24"/>
                <w:lang w:val="en-US" w:eastAsia="zh-CN"/>
              </w:rPr>
              <w:t>2</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工作人员穿戴工作衣帽，洗手消毒后进入生产车间。生产车间内未发现与生产无关的个人用品或者其他与生产不相关物品。</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lang w:val="zh-TW" w:eastAsia="zh-TW" w:bidi="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4.13</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FF0000"/>
                <w:sz w:val="24"/>
                <w:szCs w:val="24"/>
              </w:rPr>
            </w:pPr>
            <w:r>
              <w:rPr>
                <w:rFonts w:hint="eastAsia" w:asciiTheme="minorEastAsia" w:hAnsiTheme="minorEastAsia" w:eastAsiaTheme="minorEastAsia" w:cstheme="minorEastAsia"/>
                <w:color w:val="auto"/>
                <w:sz w:val="24"/>
                <w:szCs w:val="24"/>
                <w:lang w:eastAsia="zh-CN"/>
              </w:rPr>
              <w:t>食品生产加工用水的水质符合规定要求并有检测报告，与其他不与食品接触的用水以完全分离的管路输送。</w:t>
            </w:r>
          </w:p>
        </w:tc>
        <w:tc>
          <w:tcPr>
            <w:tcW w:w="1395" w:type="dxa"/>
            <w:vAlign w:val="center"/>
          </w:tcPr>
          <w:p>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lang w:val="zh-TW" w:eastAsia="zh-TW" w:bidi="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val="en-US" w:eastAsia="zh-CN"/>
              </w:rPr>
              <w:t>4.14</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kern w:val="0"/>
                <w:sz w:val="24"/>
                <w:szCs w:val="24"/>
                <w:lang w:eastAsia="zh-CN"/>
              </w:rPr>
              <w:t>食品添加剂生产使用的原料和生产工艺符合产品标准规定。复配食品添加剂配方发生变化的，按规定报告。</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center"/>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*T.</w:t>
            </w:r>
            <w:r>
              <w:rPr>
                <w:rFonts w:hint="eastAsia" w:asciiTheme="minorEastAsia" w:hAnsiTheme="minorEastAsia" w:eastAsiaTheme="minorEastAsia" w:cstheme="minorEastAsia"/>
                <w:color w:val="auto"/>
                <w:sz w:val="24"/>
                <w:szCs w:val="24"/>
                <w:lang w:val="en-US" w:eastAsia="zh-CN"/>
              </w:rPr>
              <w:t>3</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按照经特殊食品注册或备案的产品配方、生产工艺等技术要求组织生产。</w:t>
            </w:r>
          </w:p>
        </w:tc>
        <w:tc>
          <w:tcPr>
            <w:tcW w:w="1395" w:type="dxa"/>
            <w:vAlign w:val="center"/>
          </w:tcPr>
          <w:p>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center"/>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eastAsia="zh-CN"/>
              </w:rPr>
              <w:t>*T.</w:t>
            </w:r>
            <w:r>
              <w:rPr>
                <w:rFonts w:hint="eastAsia" w:asciiTheme="minorEastAsia" w:hAnsiTheme="minorEastAsia" w:eastAsiaTheme="minorEastAsia" w:cstheme="minorEastAsia"/>
                <w:color w:val="auto"/>
                <w:sz w:val="24"/>
                <w:szCs w:val="24"/>
                <w:lang w:val="en-US" w:eastAsia="zh-CN"/>
              </w:rPr>
              <w:t>4</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eastAsia="zh-CN"/>
              </w:rPr>
              <w:t>批生产记录真实、完整、可追溯，批生产记录中的生产工艺和参数等与工艺规程和有关制度要求一致。</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center"/>
              <w:rPr>
                <w:rFonts w:hint="eastAsia" w:asciiTheme="minorEastAsia" w:hAnsiTheme="minorEastAsia" w:eastAsiaTheme="minorEastAsia" w:cstheme="minorEastAsia"/>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eastAsia="zh-CN"/>
              </w:rPr>
              <w:t>T.</w:t>
            </w:r>
            <w:r>
              <w:rPr>
                <w:rFonts w:hint="eastAsia" w:asciiTheme="minorEastAsia" w:hAnsiTheme="minorEastAsia" w:eastAsiaTheme="minorEastAsia" w:cstheme="minorEastAsia"/>
                <w:color w:val="auto"/>
                <w:sz w:val="24"/>
                <w:szCs w:val="24"/>
                <w:lang w:val="en-US" w:eastAsia="zh-CN"/>
              </w:rPr>
              <w:t>5</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eastAsia="zh-CN"/>
              </w:rPr>
              <w:t>原料、食品添加剂实际使用量与注册或备案的配方和批生产记录中的使用量一致。</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center"/>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eastAsia="zh-CN"/>
              </w:rPr>
              <w:t>T.</w:t>
            </w:r>
            <w:r>
              <w:rPr>
                <w:rFonts w:hint="eastAsia" w:asciiTheme="minorEastAsia" w:hAnsiTheme="minorEastAsia" w:eastAsiaTheme="minorEastAsia" w:cstheme="minorEastAsia"/>
                <w:color w:val="auto"/>
                <w:sz w:val="24"/>
                <w:szCs w:val="24"/>
                <w:lang w:val="en-US" w:eastAsia="zh-CN"/>
              </w:rPr>
              <w:t>6</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保健食品</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原料</w:t>
            </w:r>
            <w:r>
              <w:rPr>
                <w:rFonts w:hint="eastAsia" w:asciiTheme="minorEastAsia" w:hAnsiTheme="minorEastAsia" w:eastAsiaTheme="minorEastAsia" w:cstheme="minorEastAsia"/>
                <w:color w:val="auto"/>
                <w:sz w:val="24"/>
                <w:szCs w:val="24"/>
                <w:lang w:eastAsia="zh-CN"/>
              </w:rPr>
              <w:t>提取物或原料前处理符合要求。</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FF0000"/>
                <w:sz w:val="24"/>
                <w:szCs w:val="24"/>
              </w:rPr>
            </w:pPr>
          </w:p>
        </w:tc>
        <w:tc>
          <w:tcPr>
            <w:tcW w:w="1202" w:type="dxa"/>
            <w:vAlign w:val="center"/>
          </w:tcPr>
          <w:p>
            <w:pPr>
              <w:pStyle w:val="26"/>
              <w:jc w:val="center"/>
              <w:rPr>
                <w:rFonts w:hint="eastAsia" w:asciiTheme="minorEastAsia" w:hAnsiTheme="minorEastAsia" w:eastAsiaTheme="minorEastAsia" w:cstheme="minorEastAsia"/>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pPr>
              <w:pStyle w:val="26"/>
              <w:jc w:val="center"/>
              <w:rPr>
                <w:rFonts w:hint="eastAsia" w:asciiTheme="minorEastAsia" w:hAnsiTheme="minorEastAsia" w:eastAsiaTheme="minorEastAsia" w:cstheme="minorEastAsia"/>
                <w:b/>
                <w:bCs/>
                <w:i/>
                <w:iCs/>
                <w:color w:val="auto"/>
                <w:sz w:val="24"/>
                <w:szCs w:val="24"/>
                <w:lang w:val="en-US" w:eastAsia="zh-CN"/>
              </w:rPr>
            </w:pPr>
            <w:r>
              <w:rPr>
                <w:rFonts w:hint="eastAsia" w:asciiTheme="minorEastAsia" w:hAnsiTheme="minorEastAsia" w:eastAsiaTheme="minorEastAsia" w:cstheme="minorEastAsia"/>
                <w:b w:val="0"/>
                <w:bCs w:val="0"/>
                <w:i w:val="0"/>
                <w:iCs w:val="0"/>
                <w:color w:val="auto"/>
                <w:sz w:val="24"/>
                <w:szCs w:val="24"/>
                <w:lang w:val="en-US" w:eastAsia="zh-CN"/>
              </w:rPr>
              <w:t>5</w:t>
            </w:r>
          </w:p>
        </w:tc>
        <w:tc>
          <w:tcPr>
            <w:tcW w:w="1395" w:type="dxa"/>
            <w:vMerge w:val="restart"/>
            <w:vAlign w:val="center"/>
          </w:tcPr>
          <w:p>
            <w:pPr>
              <w:pStyle w:val="26"/>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委托生产</w:t>
            </w: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*5.1</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委托方、受托方具有有效证照，委托生产的食品、食品添加剂符合法律、法规、食品安全标准等规定。</w:t>
            </w:r>
          </w:p>
        </w:tc>
        <w:tc>
          <w:tcPr>
            <w:tcW w:w="1395" w:type="dxa"/>
            <w:vAlign w:val="center"/>
          </w:tcPr>
          <w:p>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b/>
                <w:bCs/>
                <w:i/>
                <w:iCs/>
                <w:color w:val="auto"/>
                <w:sz w:val="24"/>
                <w:szCs w:val="24"/>
                <w:lang w:val="en-US" w:eastAsia="zh-CN"/>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lang w:eastAsia="zh-CN"/>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5.</w:t>
            </w:r>
            <w:r>
              <w:rPr>
                <w:rFonts w:hint="eastAsia" w:asciiTheme="minorEastAsia" w:hAnsiTheme="minorEastAsia" w:eastAsiaTheme="minorEastAsia" w:cstheme="minorEastAsia"/>
                <w:color w:val="auto"/>
                <w:sz w:val="24"/>
                <w:szCs w:val="24"/>
                <w:lang w:val="en-US" w:eastAsia="zh-CN"/>
              </w:rPr>
              <w:t>2</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签订委托生产合同，约定委托生产的食品品种、委托期限等内容。</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b/>
                <w:bCs/>
                <w:i/>
                <w:iCs/>
                <w:color w:val="auto"/>
                <w:sz w:val="24"/>
                <w:szCs w:val="24"/>
                <w:lang w:val="en-US" w:eastAsia="zh-CN"/>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lang w:eastAsia="zh-CN"/>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5.</w:t>
            </w:r>
            <w:r>
              <w:rPr>
                <w:rFonts w:hint="eastAsia" w:asciiTheme="minorEastAsia" w:hAnsiTheme="minorEastAsia" w:eastAsiaTheme="minorEastAsia" w:cstheme="minorEastAsia"/>
                <w:color w:val="auto"/>
                <w:sz w:val="24"/>
                <w:szCs w:val="24"/>
                <w:lang w:val="en-US" w:eastAsia="zh-CN"/>
              </w:rPr>
              <w:t>3</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有委托方对受托方生产行为进行监督的记录。</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b/>
                <w:bCs/>
                <w:i/>
                <w:iCs/>
                <w:color w:val="auto"/>
                <w:sz w:val="24"/>
                <w:szCs w:val="24"/>
                <w:lang w:val="en-US" w:eastAsia="zh-CN"/>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lang w:eastAsia="zh-CN"/>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5.4</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委托生产的食品标签清晰标注委托方、受托方的名称、地址、联系方式等信息。</w:t>
            </w:r>
          </w:p>
        </w:tc>
        <w:tc>
          <w:tcPr>
            <w:tcW w:w="1395" w:type="dxa"/>
            <w:vAlign w:val="center"/>
          </w:tcPr>
          <w:p>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b/>
                <w:bCs/>
                <w:i/>
                <w:iCs/>
                <w:color w:val="auto"/>
                <w:sz w:val="24"/>
                <w:szCs w:val="24"/>
                <w:lang w:val="en-US" w:eastAsia="zh-CN"/>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lang w:eastAsia="zh-CN"/>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eastAsia="zh-CN"/>
              </w:rPr>
              <w:t>T.</w:t>
            </w:r>
            <w:r>
              <w:rPr>
                <w:rFonts w:hint="eastAsia" w:asciiTheme="minorEastAsia" w:hAnsiTheme="minorEastAsia" w:eastAsiaTheme="minorEastAsia" w:cstheme="minorEastAsia"/>
                <w:color w:val="auto"/>
                <w:sz w:val="24"/>
                <w:szCs w:val="24"/>
                <w:lang w:val="en-US" w:eastAsia="zh-CN"/>
              </w:rPr>
              <w:t>7</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eastAsia="zh-CN"/>
              </w:rPr>
              <w:t>委托方持有保健食品注册证书</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或注册转备案凭证，</w:t>
            </w:r>
            <w:r>
              <w:rPr>
                <w:rFonts w:hint="eastAsia" w:asciiTheme="minorEastAsia" w:hAnsiTheme="minorEastAsia" w:eastAsiaTheme="minorEastAsia" w:cstheme="minorEastAsia"/>
                <w:color w:val="auto"/>
                <w:sz w:val="24"/>
                <w:szCs w:val="24"/>
                <w:lang w:eastAsia="zh-CN"/>
              </w:rPr>
              <w:t>受托方具备相应的生产能力且能完成生产委托品种的全部生产过程。</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center"/>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pPr>
              <w:pStyle w:val="26"/>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6</w:t>
            </w:r>
          </w:p>
        </w:tc>
        <w:tc>
          <w:tcPr>
            <w:tcW w:w="1395" w:type="dxa"/>
            <w:vMerge w:val="restart"/>
            <w:vAlign w:val="center"/>
          </w:tcPr>
          <w:p>
            <w:pPr>
              <w:pStyle w:val="22"/>
              <w:spacing w:line="307" w:lineRule="exact"/>
              <w:ind w:firstLine="0"/>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eastAsia="zh-CN"/>
              </w:rPr>
              <w:t>产品</w:t>
            </w:r>
            <w:r>
              <w:rPr>
                <w:rFonts w:hint="eastAsia" w:asciiTheme="minorEastAsia" w:hAnsiTheme="minorEastAsia" w:eastAsiaTheme="minorEastAsia" w:cstheme="minorEastAsia"/>
                <w:color w:val="auto"/>
                <w:sz w:val="24"/>
                <w:szCs w:val="24"/>
              </w:rPr>
              <w:t>检验</w:t>
            </w: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6.1</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企业自检的，具备与所检项目适应的检验室和检验能力，有检验相关设备及化学试剂，检验仪器按期检定或校准。</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6.2</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不能自检的，委托有资质的检验机构进行检验。</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*6.3</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有与生产产品相应的食品安全标准文本，按照食品安全标准规定进行检验。</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numPr>
                <w:ilvl w:val="0"/>
                <w:numId w:val="0"/>
              </w:numPr>
              <w:jc w:val="both"/>
              <w:rPr>
                <w:rFonts w:hint="eastAsia" w:asciiTheme="minorEastAsia" w:hAnsiTheme="minorEastAsia" w:eastAsiaTheme="minorEastAsia" w:cstheme="minorEastAsia"/>
                <w:color w:val="auto"/>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*6.4</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建立和保存原始检验数据和检验报告记录，检验记录真实、完整，保存期限符合规定要求。</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6.5</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按规定时限保存检验留存样品并记录留样情况。</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*T.</w:t>
            </w:r>
            <w:r>
              <w:rPr>
                <w:rFonts w:hint="eastAsia" w:asciiTheme="minorEastAsia" w:hAnsiTheme="minorEastAsia" w:eastAsiaTheme="minorEastAsia" w:cstheme="minorEastAsia"/>
                <w:color w:val="auto"/>
                <w:sz w:val="24"/>
                <w:szCs w:val="24"/>
                <w:lang w:val="en-US" w:eastAsia="zh-CN"/>
              </w:rPr>
              <w:t>8</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对出厂的婴幼儿配方食品、特殊医学用途婴儿配方食品等按照要求批批全项目自行检验，每年对全项目检验能力进行验证。</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center"/>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pPr>
              <w:pStyle w:val="26"/>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7</w:t>
            </w:r>
          </w:p>
        </w:tc>
        <w:tc>
          <w:tcPr>
            <w:tcW w:w="1395" w:type="dxa"/>
            <w:vMerge w:val="restart"/>
            <w:vAlign w:val="center"/>
          </w:tcPr>
          <w:p>
            <w:pPr>
              <w:pStyle w:val="22"/>
              <w:spacing w:line="291" w:lineRule="exact"/>
              <w:ind w:firstLine="0"/>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贮存及交付控制</w:t>
            </w: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7.1</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食品原料、食品相关产品的贮存有专人管理，贮存条件符合要求。</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7.2</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食品添加剂专库或专区贮存，明显标示，专人管理。</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7.3</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不合格品在划定区域存放，具有明显标示。</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7.4</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根据产品特点建立和执行相适应的贮存、运输及交付控制制度和记录。</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7.5</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仓库温湿度符合要求。</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*7.</w:t>
            </w:r>
            <w:r>
              <w:rPr>
                <w:rFonts w:hint="eastAsia" w:asciiTheme="minorEastAsia" w:hAnsiTheme="minorEastAsia" w:eastAsiaTheme="minorEastAsia" w:cstheme="minorEastAsia"/>
                <w:color w:val="auto"/>
                <w:sz w:val="24"/>
                <w:szCs w:val="24"/>
                <w:lang w:val="en-US" w:eastAsia="zh-CN"/>
              </w:rPr>
              <w:t>6</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有出厂记录，如实记录食品的名称、规格、数量、生产日期或者生产批号、检验合格证明、销售日期以及购货者名称、地址、联系方式等内容。</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pPr>
              <w:pStyle w:val="26"/>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8</w:t>
            </w:r>
          </w:p>
        </w:tc>
        <w:tc>
          <w:tcPr>
            <w:tcW w:w="1395" w:type="dxa"/>
            <w:vMerge w:val="restart"/>
            <w:vAlign w:val="center"/>
          </w:tcPr>
          <w:p>
            <w:pPr>
              <w:pStyle w:val="22"/>
              <w:spacing w:line="326" w:lineRule="exact"/>
              <w:ind w:firstLine="0"/>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不合格</w:t>
            </w:r>
            <w:r>
              <w:rPr>
                <w:rFonts w:hint="eastAsia" w:asciiTheme="minorEastAsia" w:hAnsiTheme="minorEastAsia" w:eastAsiaTheme="minorEastAsia" w:cstheme="minorEastAsia"/>
                <w:color w:val="auto"/>
                <w:sz w:val="24"/>
                <w:szCs w:val="24"/>
                <w:lang w:eastAsia="zh-CN"/>
              </w:rPr>
              <w:t>食</w:t>
            </w:r>
            <w:r>
              <w:rPr>
                <w:rFonts w:hint="eastAsia" w:asciiTheme="minorEastAsia" w:hAnsiTheme="minorEastAsia" w:eastAsiaTheme="minorEastAsia" w:cstheme="minorEastAsia"/>
                <w:color w:val="auto"/>
                <w:sz w:val="24"/>
                <w:szCs w:val="24"/>
              </w:rPr>
              <w:t>品管理和食品召回</w:t>
            </w: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8.1</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建立和保存不合格品的处置记录，不合格品的批次、数量应与记录一致。</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*8.2</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实施不安全食品的召回，召回和处理情况向所在地市场监管部门报告。</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8.3</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有召回计划、公告等相应记录；召回食品有处置记录。</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*8.4</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有召回食品无害化处理、销毁等措施，未发现召回食品再次流入市场（对因标签存在瑕疵实施召回的除外）。</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pPr>
              <w:pStyle w:val="26"/>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9</w:t>
            </w:r>
          </w:p>
        </w:tc>
        <w:tc>
          <w:tcPr>
            <w:tcW w:w="1395" w:type="dxa"/>
            <w:vMerge w:val="restart"/>
            <w:vAlign w:val="center"/>
          </w:tcPr>
          <w:p>
            <w:pPr>
              <w:pStyle w:val="26"/>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val="en-US" w:eastAsia="zh-CN"/>
              </w:rPr>
              <w:t>标签和说明书</w:t>
            </w: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9.1</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预包装食品的包装有标签，标签标注的事项完整、真实。</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lang w:val="en-US" w:eastAsia="zh-CN"/>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lang w:val="en-US" w:eastAsia="zh-CN"/>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000000" w:themeColor="text1"/>
                <w:sz w:val="24"/>
                <w:szCs w:val="24"/>
                <w:lang w:val="en-US" w:eastAsia="zh-CN" w:bidi="zh-TW"/>
                <w14:textFill>
                  <w14:solidFill>
                    <w14:schemeClr w14:val="tx1"/>
                  </w14:solidFill>
                </w14:textFill>
              </w:rPr>
            </w:pP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9.2</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000000" w:themeColor="text1"/>
                <w:sz w:val="24"/>
                <w:szCs w:val="24"/>
                <w:lang w:val="en-US" w:eastAsia="zh-CN" w:bidi="zh-TW"/>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未发现标注虚假生产日期或批号的情况。</w:t>
            </w:r>
          </w:p>
        </w:tc>
        <w:tc>
          <w:tcPr>
            <w:tcW w:w="1395" w:type="dxa"/>
            <w:vAlign w:val="center"/>
          </w:tcPr>
          <w:p>
            <w:pPr>
              <w:jc w:val="center"/>
              <w:rPr>
                <w:rFonts w:hint="eastAsia" w:asciiTheme="minorEastAsia" w:hAnsiTheme="minorEastAsia" w:eastAsiaTheme="minorEastAsia" w:cstheme="minorEastAsia"/>
                <w:color w:val="auto"/>
                <w:sz w:val="24"/>
                <w:szCs w:val="24"/>
                <w:lang w:val="zh-TW" w:eastAsia="zh-CN" w:bidi="zh-TW"/>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lang w:val="en-US" w:eastAsia="zh-CN"/>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lang w:val="en-US" w:eastAsia="zh-CN"/>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9.3</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未发现转基因食品、辐照食品未按规定标示。</w:t>
            </w:r>
          </w:p>
        </w:tc>
        <w:tc>
          <w:tcPr>
            <w:tcW w:w="1395" w:type="dxa"/>
            <w:vAlign w:val="center"/>
          </w:tcPr>
          <w:p>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lang w:val="en-US" w:eastAsia="zh-CN" w:bidi="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lang w:val="en-US" w:eastAsia="zh-CN"/>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lang w:val="en-US" w:eastAsia="zh-CN"/>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9.4</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食品添加剂标签载明“食品添加剂”字样，并标明贮存条件、生产者名称和地址、食品添加剂的使用范围、用量和使用方法。</w:t>
            </w:r>
          </w:p>
        </w:tc>
        <w:tc>
          <w:tcPr>
            <w:tcW w:w="1395" w:type="dxa"/>
            <w:vAlign w:val="center"/>
          </w:tcPr>
          <w:p>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u w:val="single"/>
                <w:lang w:val="en-US" w:eastAsia="zh-CN"/>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9.</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未发现食品、食品添加剂的标签、说明书涉及疾病预防、治疗功能，未发现保健食品之外的食品标签、说明书涉及保健功能。</w:t>
            </w:r>
          </w:p>
        </w:tc>
        <w:tc>
          <w:tcPr>
            <w:tcW w:w="1395" w:type="dxa"/>
            <w:vAlign w:val="center"/>
          </w:tcPr>
          <w:p>
            <w:pPr>
              <w:jc w:val="center"/>
              <w:rPr>
                <w:rFonts w:hint="eastAsia" w:asciiTheme="minorEastAsia" w:hAnsiTheme="minorEastAsia" w:eastAsiaTheme="minorEastAsia" w:cstheme="minorEastAsia"/>
                <w:color w:val="auto"/>
                <w:sz w:val="24"/>
                <w:szCs w:val="24"/>
                <w:lang w:val="zh-TW" w:eastAsia="zh-CN" w:bidi="zh-TW"/>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u w:val="single"/>
                <w:lang w:val="en-US" w:eastAsia="zh-CN"/>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eastAsia="zh-CN"/>
              </w:rPr>
              <w:t>*T.</w:t>
            </w:r>
            <w:r>
              <w:rPr>
                <w:rFonts w:hint="eastAsia" w:asciiTheme="minorEastAsia" w:hAnsiTheme="minorEastAsia" w:eastAsiaTheme="minorEastAsia" w:cstheme="minorEastAsia"/>
                <w:color w:val="auto"/>
                <w:sz w:val="24"/>
                <w:szCs w:val="24"/>
                <w:lang w:val="en-US" w:eastAsia="zh-CN"/>
              </w:rPr>
              <w:t>9</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eastAsia="zh-CN"/>
              </w:rPr>
              <w:t>特殊食品标签、说明书内容与注册或备案的内容要求一致，符合相关法律法规要求。</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center"/>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pPr>
              <w:pStyle w:val="26"/>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10</w:t>
            </w:r>
          </w:p>
        </w:tc>
        <w:tc>
          <w:tcPr>
            <w:tcW w:w="1395" w:type="dxa"/>
            <w:vMerge w:val="restart"/>
            <w:vAlign w:val="center"/>
          </w:tcPr>
          <w:p>
            <w:pPr>
              <w:pStyle w:val="26"/>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食品安全自查</w:t>
            </w: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10.1</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建立食品安全自查制度，并定期对食品安全状况进行检查评价。</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lang w:val="en-US" w:eastAsia="zh-CN"/>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u w:val="single"/>
                <w:lang w:val="en-US" w:eastAsia="zh-CN"/>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*10.2</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对自查发现食品安全问题，立即采取整改、停止生产等措施，并按规定向所在地市场监督管理部门报告。</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lang w:val="en-US" w:eastAsia="zh-CN" w:bidi="zh-TW"/>
              </w:rPr>
            </w:pPr>
          </w:p>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u w:val="single"/>
                <w:lang w:val="en-US" w:eastAsia="zh-CN"/>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eastAsia="zh-CN"/>
              </w:rPr>
              <w:t>*T.1</w:t>
            </w:r>
            <w:r>
              <w:rPr>
                <w:rFonts w:hint="eastAsia" w:asciiTheme="minorEastAsia" w:hAnsiTheme="minorEastAsia" w:eastAsiaTheme="minorEastAsia" w:cstheme="minorEastAsia"/>
                <w:color w:val="auto"/>
                <w:sz w:val="24"/>
                <w:szCs w:val="24"/>
                <w:lang w:val="en-US" w:eastAsia="zh-CN"/>
              </w:rPr>
              <w:t>0</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定期对生产质量管理体系的运行情况进行自查，保证其有效运行，并向所在地县级人民政府市场监督管理部门提交自查报告，自查发现问题整改率达100%。</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center"/>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101" w:type="dxa"/>
            <w:vMerge w:val="restart"/>
            <w:vAlign w:val="center"/>
          </w:tcPr>
          <w:p>
            <w:pPr>
              <w:pStyle w:val="26"/>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11</w:t>
            </w:r>
          </w:p>
        </w:tc>
        <w:tc>
          <w:tcPr>
            <w:tcW w:w="1395" w:type="dxa"/>
            <w:vMerge w:val="restart"/>
            <w:vAlign w:val="center"/>
          </w:tcPr>
          <w:p>
            <w:pPr>
              <w:pStyle w:val="26"/>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eastAsia="zh-CN"/>
              </w:rPr>
              <w:t>从业</w:t>
            </w:r>
            <w:r>
              <w:rPr>
                <w:rFonts w:hint="eastAsia" w:asciiTheme="minorEastAsia" w:hAnsiTheme="minorEastAsia" w:eastAsiaTheme="minorEastAsia" w:cstheme="minorEastAsia"/>
                <w:color w:val="auto"/>
                <w:sz w:val="24"/>
                <w:szCs w:val="24"/>
              </w:rPr>
              <w:t>人员管理</w:t>
            </w: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*11.1</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建立企业主要负责人全面负责食品安全工作制度，配备食品安全管理人员、食品安全专业技术人员。</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lang w:val="en-US" w:eastAsia="zh-CN" w:bidi="zh-TW"/>
              </w:rPr>
            </w:pPr>
          </w:p>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11.2</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有食品安全管理人员、食品安全专业技术人员培训和考核记录，未发现考核不合格人员上岗。</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*11.3</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未发现聘用禁止从事</w:t>
            </w:r>
            <w:r>
              <w:rPr>
                <w:rFonts w:hint="eastAsia" w:asciiTheme="minorEastAsia" w:hAnsiTheme="minorEastAsia" w:eastAsiaTheme="minorEastAsia" w:cstheme="minorEastAsia"/>
                <w:sz w:val="24"/>
                <w:szCs w:val="24"/>
                <w:lang w:eastAsia="zh-CN"/>
              </w:rPr>
              <w:t>食品</w:t>
            </w:r>
            <w:r>
              <w:rPr>
                <w:rFonts w:hint="eastAsia" w:asciiTheme="minorEastAsia" w:hAnsiTheme="minorEastAsia" w:eastAsiaTheme="minorEastAsia" w:cstheme="minorEastAsia"/>
                <w:color w:val="auto"/>
                <w:sz w:val="24"/>
                <w:szCs w:val="24"/>
                <w:lang w:eastAsia="zh-CN"/>
              </w:rPr>
              <w:t>安全管理的人员。</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11.4</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企业负责人在企业内部制度制定、过程控制、安全培训、安全检查以及食品安全事件或事故调查等环节履行了岗位职责并有记录。</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1101" w:type="dxa"/>
            <w:vMerge w:val="continue"/>
            <w:vAlign w:val="center"/>
          </w:tcPr>
          <w:p>
            <w:pPr>
              <w:pStyle w:val="26"/>
              <w:jc w:val="center"/>
              <w:rPr>
                <w:rFonts w:hint="eastAsia" w:asciiTheme="minorEastAsia" w:hAnsiTheme="minorEastAsia" w:eastAsiaTheme="minorEastAsia" w:cstheme="minorEastAsia"/>
                <w:color w:val="FF0000"/>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FF0000"/>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*11.5</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建立并执行从业人员健康管理制度，</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从事接触直接入口食品工作的</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人员具备有效健康证明，符合相关规定。</w:t>
            </w:r>
          </w:p>
        </w:tc>
        <w:tc>
          <w:tcPr>
            <w:tcW w:w="1395" w:type="dxa"/>
            <w:vAlign w:val="center"/>
          </w:tcPr>
          <w:p>
            <w:pPr>
              <w:jc w:val="center"/>
              <w:rPr>
                <w:rFonts w:hint="eastAsia" w:asciiTheme="minorEastAsia" w:hAnsiTheme="minorEastAsia" w:eastAsiaTheme="minorEastAsia" w:cstheme="minorEastAsia"/>
                <w:color w:val="FF0000"/>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FF0000"/>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lang w:val="en-US" w:eastAsia="zh-CN" w:bidi="zh-TW"/>
              </w:rPr>
            </w:pPr>
          </w:p>
          <w:p>
            <w:pPr>
              <w:pStyle w:val="26"/>
              <w:jc w:val="both"/>
              <w:rPr>
                <w:rFonts w:hint="eastAsia" w:asciiTheme="minorEastAsia" w:hAnsiTheme="minorEastAsia" w:eastAsiaTheme="minorEastAsia" w:cstheme="minorEastAsia"/>
                <w:color w:val="FF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11.6</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有从业人员食品安全知识培训制度，并有相关培训记录。</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101" w:type="dxa"/>
            <w:vMerge w:val="restart"/>
            <w:vAlign w:val="center"/>
          </w:tcPr>
          <w:p>
            <w:pPr>
              <w:pStyle w:val="26"/>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12</w:t>
            </w:r>
          </w:p>
        </w:tc>
        <w:tc>
          <w:tcPr>
            <w:tcW w:w="1395" w:type="dxa"/>
            <w:vMerge w:val="restart"/>
            <w:vAlign w:val="center"/>
          </w:tcPr>
          <w:p>
            <w:pPr>
              <w:pStyle w:val="22"/>
              <w:spacing w:line="307" w:lineRule="exact"/>
              <w:ind w:firstLine="0"/>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信息记录和追溯</w:t>
            </w: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12.1</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000000" w:themeColor="text1"/>
                <w:sz w:val="24"/>
                <w:szCs w:val="24"/>
                <w:lang w:val="zh-TW" w:eastAsia="zh-CN" w:bidi="zh-TW"/>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建立并实施食品安全追溯制度，并有相应记录。</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2"/>
              <w:spacing w:line="307" w:lineRule="exact"/>
              <w:ind w:firstLine="0"/>
              <w:jc w:val="center"/>
              <w:rPr>
                <w:rFonts w:hint="eastAsia" w:asciiTheme="minorEastAsia" w:hAnsiTheme="minorEastAsia" w:eastAsiaTheme="minorEastAsia" w:cstheme="minorEastAsia"/>
                <w:color w:val="auto"/>
                <w:sz w:val="24"/>
                <w:szCs w:val="24"/>
                <w:u w:val="single"/>
                <w:lang w:val="en-US" w:eastAsia="zh-CN"/>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12.2</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000000" w:themeColor="text1"/>
                <w:sz w:val="24"/>
                <w:szCs w:val="24"/>
                <w:lang w:val="zh-TW" w:eastAsia="zh-CN" w:bidi="zh-TW"/>
                <w14:textFill>
                  <w14:solidFill>
                    <w14:schemeClr w14:val="tx1"/>
                  </w14:solidFill>
                </w14:textFill>
              </w:rPr>
            </w:pPr>
            <w:r>
              <w:rPr>
                <w:rFonts w:hint="eastAsia" w:asciiTheme="minorEastAsia" w:hAnsiTheme="minorEastAsia" w:eastAsiaTheme="minorEastAsia" w:cstheme="minorEastAsia"/>
                <w:color w:val="000000" w:themeColor="text1"/>
                <w:spacing w:val="-11"/>
                <w:sz w:val="24"/>
                <w:szCs w:val="24"/>
                <w:lang w:eastAsia="zh-CN"/>
                <w14:textFill>
                  <w14:solidFill>
                    <w14:schemeClr w14:val="tx1"/>
                  </w14:solidFill>
                </w14:textFill>
              </w:rPr>
              <w:t>未发现食品安全追溯信息记录不真实、不准确等情况。</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2"/>
              <w:spacing w:line="307" w:lineRule="exact"/>
              <w:ind w:firstLine="0"/>
              <w:jc w:val="center"/>
              <w:rPr>
                <w:rFonts w:hint="eastAsia" w:asciiTheme="minorEastAsia" w:hAnsiTheme="minorEastAsia" w:eastAsiaTheme="minorEastAsia" w:cstheme="minorEastAsia"/>
                <w:color w:val="auto"/>
                <w:sz w:val="24"/>
                <w:szCs w:val="24"/>
                <w:u w:val="single"/>
                <w:lang w:val="en-US" w:eastAsia="zh-CN"/>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12.3</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建立信息化食品安全追溯体系的，电子记录信息与纸质记录信息保持一致。</w:t>
            </w:r>
          </w:p>
        </w:tc>
        <w:tc>
          <w:tcPr>
            <w:tcW w:w="1395" w:type="dxa"/>
            <w:vAlign w:val="center"/>
          </w:tcPr>
          <w:p>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1101" w:type="dxa"/>
            <w:vMerge w:val="restart"/>
            <w:vAlign w:val="center"/>
          </w:tcPr>
          <w:p>
            <w:pPr>
              <w:pStyle w:val="26"/>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13</w:t>
            </w:r>
          </w:p>
        </w:tc>
        <w:tc>
          <w:tcPr>
            <w:tcW w:w="1395" w:type="dxa"/>
            <w:vMerge w:val="restart"/>
            <w:vAlign w:val="center"/>
          </w:tcPr>
          <w:p>
            <w:pPr>
              <w:pStyle w:val="26"/>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食品安全事故处置</w:t>
            </w: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13.1</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有定期排查食品安全风险隐患的记录。</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13.2</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有食品安全处置方案，并定期检查食品安全防范措施落实情况，及时消除食品安全隐患。</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1101"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395" w:type="dxa"/>
            <w:vMerge w:val="continue"/>
            <w:vAlign w:val="center"/>
          </w:tcPr>
          <w:p>
            <w:pPr>
              <w:pStyle w:val="26"/>
              <w:jc w:val="center"/>
              <w:rPr>
                <w:rFonts w:hint="eastAsia" w:asciiTheme="minorEastAsia" w:hAnsiTheme="minorEastAsia" w:eastAsiaTheme="minorEastAsia" w:cstheme="minorEastAsia"/>
                <w:color w:val="auto"/>
                <w:sz w:val="24"/>
                <w:szCs w:val="24"/>
              </w:rPr>
            </w:pPr>
          </w:p>
        </w:tc>
        <w:tc>
          <w:tcPr>
            <w:tcW w:w="1044" w:type="dxa"/>
            <w:vAlign w:val="center"/>
          </w:tcPr>
          <w:p>
            <w:pPr>
              <w:pStyle w:val="22"/>
              <w:spacing w:line="240" w:lineRule="auto"/>
              <w:ind w:firstLine="0" w:firstLineChars="0"/>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*13.3</w:t>
            </w:r>
          </w:p>
        </w:tc>
        <w:tc>
          <w:tcPr>
            <w:tcW w:w="5691" w:type="dxa"/>
            <w:vAlign w:val="center"/>
          </w:tcPr>
          <w:p>
            <w:pPr>
              <w:pStyle w:val="22"/>
              <w:spacing w:line="240" w:lineRule="auto"/>
              <w:ind w:firstLine="0" w:firstLineChars="0"/>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11"/>
                <w:sz w:val="24"/>
                <w:szCs w:val="24"/>
                <w:lang w:eastAsia="zh-CN"/>
                <w14:textFill>
                  <w14:solidFill>
                    <w14:schemeClr w14:val="tx1"/>
                  </w14:solidFill>
                </w14:textFill>
              </w:rPr>
              <w:t>发生食品安全事故的，对导致或者可能导致食品安全事故的食品及原料、工具、设备、设施等，立即采取封存等控制措施，并向事故发生地市场监督管理部门报告。</w:t>
            </w:r>
          </w:p>
        </w:tc>
        <w:tc>
          <w:tcPr>
            <w:tcW w:w="1395" w:type="dxa"/>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1101" w:type="dxa"/>
            <w:vAlign w:val="center"/>
          </w:tcPr>
          <w:p>
            <w:pPr>
              <w:pStyle w:val="26"/>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14</w:t>
            </w:r>
          </w:p>
        </w:tc>
        <w:tc>
          <w:tcPr>
            <w:tcW w:w="1395" w:type="dxa"/>
            <w:vAlign w:val="center"/>
          </w:tcPr>
          <w:p>
            <w:pPr>
              <w:pStyle w:val="26"/>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前次监督检查发现问题整改情况</w:t>
            </w:r>
          </w:p>
        </w:tc>
        <w:tc>
          <w:tcPr>
            <w:tcW w:w="1044" w:type="dxa"/>
            <w:vAlign w:val="center"/>
          </w:tcPr>
          <w:p>
            <w:pPr>
              <w:pStyle w:val="22"/>
              <w:spacing w:line="240" w:lineRule="auto"/>
              <w:ind w:firstLine="0"/>
              <w:jc w:val="center"/>
              <w:rPr>
                <w:rFonts w:hint="eastAsia"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val="en-US" w:eastAsia="zh-CN" w:bidi="en-US"/>
              </w:rPr>
              <w:t>14.1</w:t>
            </w:r>
          </w:p>
        </w:tc>
        <w:tc>
          <w:tcPr>
            <w:tcW w:w="5691" w:type="dxa"/>
            <w:vAlign w:val="center"/>
          </w:tcPr>
          <w:p>
            <w:pPr>
              <w:pStyle w:val="22"/>
              <w:spacing w:line="240" w:lineRule="auto"/>
              <w:ind w:firstLine="0"/>
              <w:jc w:val="left"/>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对前次监督检查发现的问题完成整改。</w:t>
            </w:r>
          </w:p>
        </w:tc>
        <w:tc>
          <w:tcPr>
            <w:tcW w:w="1395" w:type="dxa"/>
            <w:vAlign w:val="center"/>
          </w:tcPr>
          <w:p>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pPr>
              <w:pStyle w:val="26"/>
              <w:jc w:val="both"/>
              <w:rPr>
                <w:rFonts w:hint="eastAsia" w:asciiTheme="minorEastAsia" w:hAnsiTheme="minorEastAsia" w:eastAsiaTheme="minorEastAsia" w:cstheme="minorEastAsia"/>
                <w:color w:val="auto"/>
                <w:sz w:val="24"/>
                <w:szCs w:val="24"/>
              </w:rPr>
            </w:pPr>
          </w:p>
        </w:tc>
        <w:tc>
          <w:tcPr>
            <w:tcW w:w="1202" w:type="dxa"/>
            <w:vAlign w:val="center"/>
          </w:tcPr>
          <w:p>
            <w:pPr>
              <w:pStyle w:val="26"/>
              <w:jc w:val="both"/>
              <w:rPr>
                <w:rFonts w:hint="eastAsia" w:asciiTheme="minorEastAsia" w:hAnsiTheme="minorEastAsia" w:eastAsiaTheme="minorEastAsia" w:cstheme="minorEastAsia"/>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193" w:type="dxa"/>
            <w:gridSpan w:val="7"/>
            <w:vAlign w:val="center"/>
          </w:tcPr>
          <w:p>
            <w:pPr>
              <w:spacing w:before="156" w:beforeLines="50" w:after="156" w:afterLines="50" w:line="270" w:lineRule="exact"/>
              <w:jc w:val="left"/>
              <w:rPr>
                <w:rFonts w:hint="eastAsia" w:ascii="宋体" w:hAnsi="宋体" w:eastAsia="宋体" w:cs="宋体"/>
                <w:b w:val="0"/>
                <w:bCs/>
                <w:kern w:val="2"/>
                <w:sz w:val="24"/>
                <w:szCs w:val="24"/>
                <w:lang w:eastAsia="zh-CN" w:bidi="ar-SA"/>
              </w:rPr>
            </w:pPr>
            <w:r>
              <w:rPr>
                <w:rFonts w:hint="eastAsia" w:ascii="宋体" w:hAnsi="宋体" w:eastAsia="宋体" w:cs="宋体"/>
                <w:b w:val="0"/>
                <w:bCs/>
                <w:kern w:val="2"/>
                <w:sz w:val="24"/>
                <w:szCs w:val="24"/>
                <w:lang w:eastAsia="zh-CN" w:bidi="ar-SA"/>
              </w:rPr>
              <w:t>其他需要记录的问题：</w:t>
            </w:r>
          </w:p>
          <w:p>
            <w:pPr>
              <w:spacing w:before="156" w:beforeLines="50" w:after="156" w:afterLines="50" w:line="270" w:lineRule="exact"/>
              <w:jc w:val="left"/>
              <w:rPr>
                <w:rFonts w:hint="eastAsia" w:ascii="宋体" w:hAnsi="宋体" w:eastAsia="宋体" w:cs="宋体"/>
                <w:b w:val="0"/>
                <w:bCs/>
                <w:kern w:val="2"/>
                <w:sz w:val="24"/>
                <w:szCs w:val="24"/>
                <w:lang w:eastAsia="zh-CN" w:bidi="ar-SA"/>
              </w:rPr>
            </w:pPr>
          </w:p>
          <w:p>
            <w:pPr>
              <w:spacing w:before="156" w:beforeLines="50" w:after="156" w:afterLines="50" w:line="270" w:lineRule="exact"/>
              <w:jc w:val="left"/>
              <w:rPr>
                <w:rFonts w:hint="eastAsia" w:ascii="宋体" w:hAnsi="宋体" w:eastAsia="宋体" w:cs="宋体"/>
                <w:b w:val="0"/>
                <w:bCs/>
                <w:kern w:val="2"/>
                <w:sz w:val="24"/>
                <w:szCs w:val="24"/>
                <w:lang w:eastAsia="zh-CN" w:bidi="ar-SA"/>
              </w:rPr>
            </w:pPr>
            <w:bookmarkStart w:id="3" w:name="_GoBack"/>
            <w:bookmarkEnd w:id="3"/>
          </w:p>
          <w:p>
            <w:pPr>
              <w:spacing w:before="156" w:beforeLines="50" w:after="156" w:afterLines="50" w:line="270" w:lineRule="exact"/>
              <w:jc w:val="left"/>
              <w:rPr>
                <w:rFonts w:hint="eastAsia" w:ascii="宋体" w:hAnsi="宋体" w:eastAsia="宋体" w:cs="宋体"/>
                <w:b w:val="0"/>
                <w:bCs/>
                <w:kern w:val="2"/>
                <w:sz w:val="24"/>
                <w:szCs w:val="24"/>
                <w:lang w:eastAsia="zh-CN" w:bidi="ar-SA"/>
              </w:rPr>
            </w:pPr>
          </w:p>
          <w:p>
            <w:pPr>
              <w:spacing w:before="156" w:beforeLines="50" w:after="156" w:afterLines="50" w:line="270" w:lineRule="exact"/>
              <w:jc w:val="left"/>
              <w:rPr>
                <w:rFonts w:hint="eastAsia" w:ascii="宋体" w:hAnsi="宋体" w:eastAsia="宋体" w:cs="宋体"/>
                <w:b w:val="0"/>
                <w:bCs/>
                <w:kern w:val="2"/>
                <w:sz w:val="24"/>
                <w:szCs w:val="24"/>
                <w:lang w:eastAsia="zh-CN" w:bidi="ar-SA"/>
              </w:rPr>
            </w:pPr>
          </w:p>
        </w:tc>
      </w:tr>
    </w:tbl>
    <w:p>
      <w:pPr>
        <w:spacing w:line="1" w:lineRule="exact"/>
      </w:pPr>
    </w:p>
    <w:p>
      <w:pPr>
        <w:spacing w:line="1" w:lineRule="exact"/>
        <w:rPr>
          <w:rFonts w:hint="eastAsia" w:ascii="宋体" w:hAnsi="宋体" w:eastAsia="宋体" w:cs="宋体"/>
          <w:sz w:val="24"/>
          <w:szCs w:val="24"/>
          <w:lang w:eastAsia="zh-CN"/>
        </w:rPr>
      </w:pPr>
    </w:p>
    <w:p>
      <w:pPr>
        <w:pStyle w:val="5"/>
        <w:widowControl/>
        <w:ind w:left="720" w:hanging="720" w:hangingChars="300"/>
        <w:jc w:val="left"/>
        <w:rPr>
          <w:rFonts w:hint="eastAsia" w:ascii="宋体" w:hAnsi="宋体" w:eastAsia="宋体" w:cs="宋体"/>
          <w:color w:val="auto"/>
          <w:spacing w:val="-11"/>
          <w:kern w:val="0"/>
          <w:sz w:val="24"/>
          <w:szCs w:val="24"/>
          <w:lang w:val="en-US" w:eastAsia="zh-CN" w:bidi="zh-TW"/>
        </w:rPr>
      </w:pPr>
      <w:r>
        <w:rPr>
          <w:rFonts w:hint="eastAsia" w:ascii="宋体" w:hAnsi="宋体" w:eastAsia="宋体" w:cs="宋体"/>
          <w:color w:val="auto"/>
          <w:kern w:val="0"/>
          <w:sz w:val="24"/>
          <w:szCs w:val="24"/>
          <w:lang w:val="en-US" w:eastAsia="zh-CN" w:bidi="zh-TW"/>
        </w:rPr>
        <w:t>说明：</w:t>
      </w:r>
      <w:r>
        <w:rPr>
          <w:rFonts w:hint="eastAsia" w:ascii="宋体" w:hAnsi="宋体" w:eastAsia="宋体" w:cs="宋体"/>
          <w:color w:val="auto"/>
          <w:spacing w:val="-11"/>
          <w:kern w:val="0"/>
          <w:sz w:val="24"/>
          <w:szCs w:val="24"/>
          <w:lang w:val="en-US" w:eastAsia="zh-CN" w:bidi="zh-TW"/>
        </w:rPr>
        <w:t>1.如果检查项目存在合理缺项，该项无需勾选“是”与“否”，并在备注中说明，不计入否项数。如：第5项“委托生产”检查项目仅对作为受托方的食品生产者监督检查时适用；第4.14、9.4项仅对食品添加剂生产者监督检查时适用。</w:t>
      </w:r>
      <w:r>
        <w:rPr>
          <w:rFonts w:hint="eastAsia" w:ascii="宋体" w:hAnsi="宋体" w:eastAsia="宋体" w:cs="宋体"/>
          <w:color w:val="auto"/>
          <w:spacing w:val="-11"/>
          <w:kern w:val="0"/>
          <w:sz w:val="24"/>
          <w:szCs w:val="24"/>
          <w:lang w:val="en-US" w:eastAsia="zh-CN" w:bidi="zh-TW"/>
        </w:rPr>
        <w:br w:type="textWrapping"/>
      </w:r>
      <w:r>
        <w:rPr>
          <w:rFonts w:hint="eastAsia" w:ascii="宋体" w:hAnsi="宋体" w:eastAsia="宋体" w:cs="宋体"/>
          <w:color w:val="auto"/>
          <w:spacing w:val="-11"/>
          <w:kern w:val="0"/>
          <w:sz w:val="24"/>
          <w:szCs w:val="24"/>
          <w:lang w:val="en-US" w:eastAsia="zh-CN" w:bidi="zh-TW"/>
        </w:rPr>
        <w:t xml:space="preserve"> 2.食品通用检查项目适用于食品（含特殊食品）、食品添加剂生产者的监督检查；特殊食品专用检查项目（T）仅适用于特殊食品生产者的监督检查。</w:t>
      </w:r>
      <w:r>
        <w:rPr>
          <w:rFonts w:hint="eastAsia" w:ascii="宋体" w:hAnsi="宋体" w:eastAsia="宋体" w:cs="宋体"/>
          <w:color w:val="auto"/>
          <w:spacing w:val="-11"/>
          <w:kern w:val="0"/>
          <w:sz w:val="24"/>
          <w:szCs w:val="24"/>
          <w:lang w:val="en-US" w:eastAsia="zh-CN" w:bidi="zh-TW"/>
        </w:rPr>
        <w:br w:type="textWrapping"/>
      </w:r>
      <w:r>
        <w:rPr>
          <w:rFonts w:hint="eastAsia" w:ascii="宋体" w:hAnsi="宋体" w:eastAsia="宋体" w:cs="宋体"/>
          <w:color w:val="auto"/>
          <w:spacing w:val="-11"/>
          <w:kern w:val="0"/>
          <w:sz w:val="24"/>
          <w:szCs w:val="24"/>
          <w:lang w:val="en-US" w:eastAsia="zh-CN" w:bidi="zh-TW"/>
        </w:rPr>
        <w:t xml:space="preserve"> 3.企业获得多个食品许可类别的，应当在“发现问题食品类别”一栏中准确描述发现问题所属的食品类别。</w:t>
      </w:r>
    </w:p>
    <w:p>
      <w:pPr>
        <w:spacing w:line="1" w:lineRule="exact"/>
        <w:rPr>
          <w:rFonts w:hint="eastAsia" w:ascii="宋体" w:hAnsi="宋体" w:eastAsia="宋体" w:cs="宋体"/>
          <w:color w:val="auto"/>
          <w:kern w:val="0"/>
          <w:sz w:val="24"/>
          <w:szCs w:val="24"/>
          <w:lang w:val="en-US" w:eastAsia="zh-CN" w:bidi="zh-TW"/>
        </w:rPr>
      </w:pPr>
      <w:r>
        <w:rPr>
          <w:rFonts w:hint="eastAsia" w:ascii="宋体" w:hAnsi="宋体" w:eastAsia="宋体" w:cs="宋体"/>
          <w:color w:val="auto"/>
          <w:kern w:val="0"/>
          <w:sz w:val="24"/>
          <w:szCs w:val="24"/>
          <w:lang w:val="en-US" w:eastAsia="zh-CN" w:bidi="zh-TW"/>
        </w:rPr>
        <w:t>5.如果检查项目存在合理缺项，该项无需勾选“是与否”，并在备注中说明，不计入否项数。</w:t>
      </w:r>
    </w:p>
    <w:p>
      <w:pPr>
        <w:spacing w:line="240" w:lineRule="auto"/>
        <w:rPr>
          <w:rFonts w:hint="eastAsia" w:ascii="宋体" w:hAnsi="宋体" w:eastAsia="宋体" w:cs="宋体"/>
          <w:color w:val="auto"/>
          <w:kern w:val="0"/>
          <w:sz w:val="24"/>
          <w:szCs w:val="24"/>
          <w:lang w:val="en-US" w:eastAsia="zh-CN" w:bidi="zh-TW"/>
        </w:rPr>
      </w:pPr>
      <w:r>
        <w:rPr>
          <w:rFonts w:hint="eastAsia" w:ascii="宋体" w:hAnsi="宋体" w:eastAsia="宋体" w:cs="宋体"/>
          <w:color w:val="auto"/>
          <w:kern w:val="0"/>
          <w:sz w:val="24"/>
          <w:szCs w:val="24"/>
          <w:lang w:val="en-US" w:eastAsia="zh-CN" w:bidi="zh-TW"/>
        </w:rPr>
        <w:br w:type="page"/>
      </w:r>
    </w:p>
    <w:p>
      <w:pPr>
        <w:adjustRightInd w:val="0"/>
        <w:snapToGrid w:val="0"/>
        <w:spacing w:line="580" w:lineRule="exact"/>
        <w:jc w:val="center"/>
        <w:rPr>
          <w:rFonts w:hint="eastAsia" w:ascii="方正小标宋简体" w:hAnsi="Calibri" w:eastAsia="方正小标宋简体"/>
          <w:kern w:val="2"/>
          <w:sz w:val="44"/>
          <w:szCs w:val="36"/>
          <w:lang w:eastAsia="zh-CN" w:bidi="ar-SA"/>
        </w:rPr>
      </w:pPr>
      <w:r>
        <w:rPr>
          <w:rFonts w:hint="eastAsia" w:ascii="方正小标宋简体" w:hAnsi="Calibri" w:eastAsia="方正小标宋简体"/>
          <w:kern w:val="2"/>
          <w:sz w:val="44"/>
          <w:szCs w:val="36"/>
          <w:lang w:eastAsia="zh-CN" w:bidi="ar-SA"/>
        </w:rPr>
        <w:t>表</w:t>
      </w:r>
      <w:r>
        <w:rPr>
          <w:rFonts w:hint="eastAsia" w:ascii="方正小标宋简体" w:hAnsi="Calibri" w:eastAsia="方正小标宋简体"/>
          <w:kern w:val="2"/>
          <w:sz w:val="44"/>
          <w:szCs w:val="36"/>
          <w:lang w:val="en-US" w:eastAsia="zh-CN" w:bidi="ar-SA"/>
        </w:rPr>
        <w:t xml:space="preserve">1-2  </w:t>
      </w:r>
      <w:r>
        <w:rPr>
          <w:rFonts w:hint="eastAsia" w:ascii="方正小标宋简体" w:hAnsi="Calibri" w:eastAsia="方正小标宋简体"/>
          <w:kern w:val="2"/>
          <w:sz w:val="44"/>
          <w:szCs w:val="36"/>
          <w:lang w:eastAsia="zh-CN" w:bidi="ar-SA"/>
        </w:rPr>
        <w:t>食品销售监督检查要点表</w:t>
      </w:r>
    </w:p>
    <w:p>
      <w:pPr>
        <w:adjustRightInd w:val="0"/>
        <w:snapToGrid w:val="0"/>
        <w:spacing w:line="480" w:lineRule="exact"/>
        <w:jc w:val="center"/>
        <w:rPr>
          <w:rFonts w:ascii="Calibri" w:hAnsi="Calibri" w:eastAsia="楷体_GB2312"/>
          <w:kern w:val="2"/>
          <w:sz w:val="28"/>
          <w:szCs w:val="28"/>
          <w:lang w:eastAsia="zh-CN" w:bidi="ar-SA"/>
        </w:rPr>
      </w:pP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宋体" w:hAnsi="宋体" w:eastAsia="宋体" w:cs="宋体"/>
          <w:kern w:val="2"/>
          <w:sz w:val="24"/>
          <w:szCs w:val="24"/>
          <w:lang w:eastAsia="zh-CN" w:bidi="ar-SA"/>
        </w:rPr>
      </w:pPr>
      <w:r>
        <w:rPr>
          <w:rFonts w:hint="eastAsia" w:ascii="宋体" w:hAnsi="宋体" w:eastAsia="宋体" w:cs="宋体"/>
          <w:kern w:val="2"/>
          <w:sz w:val="24"/>
          <w:szCs w:val="24"/>
          <w:lang w:eastAsia="zh-CN" w:bidi="ar-SA"/>
        </w:rPr>
        <w:t>食品通用检查项目：重点项（*）</w:t>
      </w:r>
      <w:r>
        <w:rPr>
          <w:rFonts w:hint="eastAsia" w:ascii="宋体" w:hAnsi="宋体" w:eastAsia="宋体" w:cs="宋体"/>
          <w:kern w:val="2"/>
          <w:sz w:val="24"/>
          <w:szCs w:val="24"/>
          <w:lang w:val="en-US" w:eastAsia="zh-CN" w:bidi="ar-SA"/>
        </w:rPr>
        <w:t>38</w:t>
      </w:r>
      <w:r>
        <w:rPr>
          <w:rFonts w:hint="eastAsia" w:ascii="宋体" w:hAnsi="宋体" w:eastAsia="宋体" w:cs="宋体"/>
          <w:kern w:val="2"/>
          <w:sz w:val="24"/>
          <w:szCs w:val="24"/>
          <w:lang w:eastAsia="zh-CN" w:bidi="ar-SA"/>
        </w:rPr>
        <w:t>项，一般项</w:t>
      </w:r>
      <w:r>
        <w:rPr>
          <w:rFonts w:hint="eastAsia" w:ascii="宋体" w:hAnsi="宋体" w:eastAsia="宋体" w:cs="宋体"/>
          <w:kern w:val="2"/>
          <w:sz w:val="24"/>
          <w:szCs w:val="24"/>
          <w:lang w:val="en-US" w:eastAsia="zh-CN" w:bidi="ar-SA"/>
        </w:rPr>
        <w:t>41</w:t>
      </w:r>
      <w:r>
        <w:rPr>
          <w:rFonts w:hint="eastAsia" w:ascii="宋体" w:hAnsi="宋体" w:eastAsia="宋体" w:cs="宋体"/>
          <w:kern w:val="2"/>
          <w:sz w:val="24"/>
          <w:szCs w:val="24"/>
          <w:lang w:eastAsia="zh-CN" w:bidi="ar-SA"/>
        </w:rPr>
        <w:t>项，共</w:t>
      </w:r>
      <w:r>
        <w:rPr>
          <w:rFonts w:hint="eastAsia" w:ascii="宋体" w:hAnsi="宋体" w:eastAsia="宋体" w:cs="宋体"/>
          <w:kern w:val="2"/>
          <w:sz w:val="24"/>
          <w:szCs w:val="24"/>
          <w:lang w:val="en-US" w:eastAsia="zh-CN" w:bidi="ar-SA"/>
        </w:rPr>
        <w:t>79</w:t>
      </w:r>
      <w:r>
        <w:rPr>
          <w:rFonts w:hint="eastAsia" w:ascii="宋体" w:hAnsi="宋体" w:eastAsia="宋体" w:cs="宋体"/>
          <w:kern w:val="2"/>
          <w:sz w:val="24"/>
          <w:szCs w:val="24"/>
          <w:lang w:eastAsia="zh-CN" w:bidi="ar-SA"/>
        </w:rPr>
        <w:t>项。</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宋体" w:hAnsi="宋体" w:eastAsia="宋体" w:cs="宋体"/>
          <w:kern w:val="2"/>
          <w:sz w:val="24"/>
          <w:szCs w:val="24"/>
          <w:lang w:eastAsia="zh-CN" w:bidi="ar-SA"/>
        </w:rPr>
      </w:pPr>
      <w:r>
        <w:rPr>
          <w:rFonts w:hint="eastAsia" w:ascii="宋体" w:hAnsi="宋体" w:eastAsia="宋体" w:cs="宋体"/>
          <w:kern w:val="2"/>
          <w:sz w:val="24"/>
          <w:szCs w:val="24"/>
          <w:lang w:eastAsia="zh-CN" w:bidi="ar-SA"/>
        </w:rPr>
        <w:t>食品其他检查项目：重点项（*）</w:t>
      </w:r>
      <w:r>
        <w:rPr>
          <w:rFonts w:hint="eastAsia" w:ascii="宋体" w:hAnsi="宋体" w:eastAsia="宋体" w:cs="宋体"/>
          <w:kern w:val="2"/>
          <w:sz w:val="24"/>
          <w:szCs w:val="24"/>
          <w:lang w:val="en-US" w:eastAsia="zh-CN" w:bidi="ar-SA"/>
        </w:rPr>
        <w:t>12</w:t>
      </w:r>
      <w:r>
        <w:rPr>
          <w:rFonts w:hint="eastAsia" w:ascii="宋体" w:hAnsi="宋体" w:eastAsia="宋体" w:cs="宋体"/>
          <w:kern w:val="2"/>
          <w:sz w:val="24"/>
          <w:szCs w:val="24"/>
          <w:lang w:eastAsia="zh-CN" w:bidi="ar-SA"/>
        </w:rPr>
        <w:t>项，一般项</w:t>
      </w:r>
      <w:r>
        <w:rPr>
          <w:rFonts w:hint="eastAsia" w:ascii="宋体" w:hAnsi="宋体" w:eastAsia="宋体" w:cs="宋体"/>
          <w:kern w:val="2"/>
          <w:sz w:val="24"/>
          <w:szCs w:val="24"/>
          <w:lang w:val="en-US" w:eastAsia="zh-CN" w:bidi="ar-SA"/>
        </w:rPr>
        <w:t>5</w:t>
      </w:r>
      <w:r>
        <w:rPr>
          <w:rFonts w:hint="eastAsia" w:ascii="宋体" w:hAnsi="宋体" w:eastAsia="宋体" w:cs="宋体"/>
          <w:kern w:val="2"/>
          <w:sz w:val="24"/>
          <w:szCs w:val="24"/>
          <w:lang w:eastAsia="zh-CN" w:bidi="ar-SA"/>
        </w:rPr>
        <w:t>项，共</w:t>
      </w:r>
      <w:r>
        <w:rPr>
          <w:rFonts w:hint="eastAsia" w:ascii="宋体" w:hAnsi="宋体" w:eastAsia="宋体" w:cs="宋体"/>
          <w:kern w:val="2"/>
          <w:sz w:val="24"/>
          <w:szCs w:val="24"/>
          <w:lang w:val="en-US" w:eastAsia="zh-CN" w:bidi="ar-SA"/>
        </w:rPr>
        <w:t>17</w:t>
      </w:r>
      <w:r>
        <w:rPr>
          <w:rFonts w:hint="eastAsia" w:ascii="宋体" w:hAnsi="宋体" w:eastAsia="宋体" w:cs="宋体"/>
          <w:kern w:val="2"/>
          <w:sz w:val="24"/>
          <w:szCs w:val="24"/>
          <w:lang w:eastAsia="zh-CN" w:bidi="ar-SA"/>
        </w:rPr>
        <w:t>项。</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ascii="宋体" w:hAnsi="宋体" w:eastAsia="宋体" w:cs="宋体"/>
          <w:kern w:val="2"/>
          <w:sz w:val="24"/>
          <w:szCs w:val="24"/>
          <w:lang w:eastAsia="zh-CN" w:bidi="ar-SA"/>
        </w:rPr>
      </w:pPr>
      <w:r>
        <w:rPr>
          <w:rFonts w:hint="eastAsia" w:ascii="宋体" w:hAnsi="宋体" w:eastAsia="宋体" w:cs="宋体"/>
          <w:kern w:val="2"/>
          <w:sz w:val="24"/>
          <w:szCs w:val="24"/>
          <w:lang w:eastAsia="zh-CN" w:bidi="ar-SA"/>
        </w:rPr>
        <w:t>相关主体检查项目：重点项（*）</w:t>
      </w:r>
      <w:r>
        <w:rPr>
          <w:rFonts w:hint="eastAsia" w:ascii="宋体" w:hAnsi="宋体" w:eastAsia="宋体" w:cs="宋体"/>
          <w:kern w:val="2"/>
          <w:sz w:val="24"/>
          <w:szCs w:val="24"/>
          <w:lang w:val="en-US" w:eastAsia="zh-CN" w:bidi="ar-SA"/>
        </w:rPr>
        <w:t>6</w:t>
      </w:r>
      <w:r>
        <w:rPr>
          <w:rFonts w:hint="eastAsia" w:ascii="宋体" w:hAnsi="宋体" w:eastAsia="宋体" w:cs="宋体"/>
          <w:kern w:val="2"/>
          <w:sz w:val="24"/>
          <w:szCs w:val="24"/>
          <w:lang w:eastAsia="zh-CN" w:bidi="ar-SA"/>
        </w:rPr>
        <w:t>项，一般项</w:t>
      </w:r>
      <w:r>
        <w:rPr>
          <w:rFonts w:hint="eastAsia" w:ascii="宋体" w:hAnsi="宋体" w:eastAsia="宋体" w:cs="宋体"/>
          <w:kern w:val="2"/>
          <w:sz w:val="24"/>
          <w:szCs w:val="24"/>
          <w:lang w:val="en-US" w:eastAsia="zh-CN" w:bidi="ar-SA"/>
        </w:rPr>
        <w:t>9</w:t>
      </w:r>
      <w:r>
        <w:rPr>
          <w:rFonts w:hint="eastAsia" w:ascii="宋体" w:hAnsi="宋体" w:eastAsia="宋体" w:cs="宋体"/>
          <w:kern w:val="2"/>
          <w:sz w:val="24"/>
          <w:szCs w:val="24"/>
          <w:lang w:eastAsia="zh-CN" w:bidi="ar-SA"/>
        </w:rPr>
        <w:t>项，共</w:t>
      </w:r>
      <w:r>
        <w:rPr>
          <w:rFonts w:hint="eastAsia" w:ascii="宋体" w:hAnsi="宋体" w:eastAsia="宋体" w:cs="宋体"/>
          <w:kern w:val="2"/>
          <w:sz w:val="24"/>
          <w:szCs w:val="24"/>
          <w:lang w:val="en-US" w:eastAsia="zh-CN" w:bidi="ar-SA"/>
        </w:rPr>
        <w:t>15</w:t>
      </w:r>
      <w:r>
        <w:rPr>
          <w:rFonts w:hint="eastAsia" w:ascii="宋体" w:hAnsi="宋体" w:eastAsia="宋体" w:cs="宋体"/>
          <w:kern w:val="2"/>
          <w:sz w:val="24"/>
          <w:szCs w:val="24"/>
          <w:lang w:eastAsia="zh-CN" w:bidi="ar-SA"/>
        </w:rPr>
        <w:t>项。</w:t>
      </w:r>
    </w:p>
    <w:tbl>
      <w:tblPr>
        <w:tblStyle w:val="6"/>
        <w:tblW w:w="131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5"/>
        <w:gridCol w:w="904"/>
        <w:gridCol w:w="9061"/>
        <w:gridCol w:w="1290"/>
        <w:gridCol w:w="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4014" w:type="dxa"/>
            <w:gridSpan w:val="5"/>
            <w:noWrap w:val="0"/>
            <w:vAlign w:val="center"/>
          </w:tcPr>
          <w:p>
            <w:pPr>
              <w:widowControl/>
              <w:adjustRightInd w:val="0"/>
              <w:snapToGrid w:val="0"/>
              <w:jc w:val="center"/>
              <w:rPr>
                <w:rFonts w:hint="eastAsia" w:ascii="黑体" w:hAnsi="黑体" w:eastAsia="黑体" w:cs="黑体"/>
                <w:b/>
                <w:bCs/>
                <w:color w:val="000000"/>
                <w:kern w:val="0"/>
                <w:sz w:val="24"/>
                <w:szCs w:val="24"/>
                <w:lang w:eastAsia="zh-CN" w:bidi="ar-SA"/>
              </w:rPr>
            </w:pPr>
            <w:r>
              <w:rPr>
                <w:rFonts w:hint="eastAsia" w:ascii="黑体" w:hAnsi="黑体" w:eastAsia="黑体" w:cs="黑体"/>
                <w:kern w:val="2"/>
                <w:sz w:val="24"/>
                <w:szCs w:val="24"/>
                <w:lang w:eastAsia="zh-CN" w:bidi="ar-SA"/>
              </w:rPr>
              <w:t>食品通用检查项目（</w:t>
            </w:r>
            <w:r>
              <w:rPr>
                <w:rFonts w:hint="eastAsia" w:ascii="黑体" w:hAnsi="黑体" w:eastAsia="黑体" w:cs="黑体"/>
                <w:kern w:val="2"/>
                <w:sz w:val="24"/>
                <w:szCs w:val="24"/>
                <w:lang w:val="en-US" w:eastAsia="zh-CN" w:bidi="ar-SA"/>
              </w:rPr>
              <w:t>79</w:t>
            </w:r>
            <w:r>
              <w:rPr>
                <w:rFonts w:hint="eastAsia" w:ascii="黑体" w:hAnsi="黑体" w:eastAsia="黑体" w:cs="黑体"/>
                <w:kern w:val="2"/>
                <w:sz w:val="24"/>
                <w:szCs w:val="24"/>
                <w:lang w:eastAsia="zh-CN" w:bidi="ar-SA"/>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080" w:type="dxa"/>
            <w:noWrap w:val="0"/>
            <w:vAlign w:val="center"/>
          </w:tcPr>
          <w:p>
            <w:pPr>
              <w:widowControl/>
              <w:adjustRightInd w:val="0"/>
              <w:snapToGrid w:val="0"/>
              <w:spacing w:line="420" w:lineRule="exact"/>
              <w:jc w:val="center"/>
              <w:rPr>
                <w:rFonts w:hint="eastAsia" w:ascii="黑体" w:hAnsi="黑体" w:eastAsia="黑体" w:cs="黑体"/>
                <w:b w:val="0"/>
                <w:bCs w:val="0"/>
                <w:color w:val="000000"/>
                <w:kern w:val="0"/>
                <w:sz w:val="24"/>
                <w:szCs w:val="24"/>
                <w:lang w:eastAsia="zh-CN" w:bidi="ar-SA"/>
              </w:rPr>
            </w:pPr>
            <w:r>
              <w:rPr>
                <w:rFonts w:hint="eastAsia" w:ascii="黑体" w:hAnsi="黑体" w:eastAsia="黑体" w:cs="黑体"/>
                <w:b w:val="0"/>
                <w:bCs w:val="0"/>
                <w:color w:val="000000"/>
                <w:kern w:val="0"/>
                <w:sz w:val="24"/>
                <w:szCs w:val="24"/>
                <w:lang w:eastAsia="zh-CN" w:bidi="ar-SA"/>
              </w:rPr>
              <w:t>检查</w:t>
            </w:r>
          </w:p>
          <w:p>
            <w:pPr>
              <w:widowControl/>
              <w:adjustRightInd w:val="0"/>
              <w:snapToGrid w:val="0"/>
              <w:spacing w:line="420" w:lineRule="exact"/>
              <w:jc w:val="center"/>
              <w:rPr>
                <w:rFonts w:hint="eastAsia" w:ascii="黑体" w:hAnsi="黑体" w:eastAsia="黑体" w:cs="黑体"/>
                <w:b w:val="0"/>
                <w:bCs w:val="0"/>
                <w:color w:val="000000"/>
                <w:kern w:val="0"/>
                <w:sz w:val="24"/>
                <w:szCs w:val="24"/>
                <w:lang w:eastAsia="zh-CN" w:bidi="ar-SA"/>
              </w:rPr>
            </w:pPr>
            <w:r>
              <w:rPr>
                <w:rFonts w:hint="eastAsia" w:ascii="黑体" w:hAnsi="黑体" w:eastAsia="黑体" w:cs="黑体"/>
                <w:b w:val="0"/>
                <w:bCs w:val="0"/>
                <w:color w:val="000000"/>
                <w:kern w:val="0"/>
                <w:sz w:val="24"/>
                <w:szCs w:val="24"/>
                <w:lang w:eastAsia="zh-CN" w:bidi="ar-SA"/>
              </w:rPr>
              <w:t>项目</w:t>
            </w:r>
          </w:p>
        </w:tc>
        <w:tc>
          <w:tcPr>
            <w:tcW w:w="950" w:type="dxa"/>
            <w:noWrap w:val="0"/>
            <w:vAlign w:val="center"/>
          </w:tcPr>
          <w:p>
            <w:pPr>
              <w:widowControl/>
              <w:adjustRightInd w:val="0"/>
              <w:snapToGrid w:val="0"/>
              <w:spacing w:line="420" w:lineRule="exact"/>
              <w:jc w:val="center"/>
              <w:rPr>
                <w:rFonts w:hint="eastAsia" w:ascii="黑体" w:hAnsi="黑体" w:eastAsia="黑体" w:cs="黑体"/>
                <w:b w:val="0"/>
                <w:bCs w:val="0"/>
                <w:color w:val="000000"/>
                <w:kern w:val="0"/>
                <w:sz w:val="24"/>
                <w:szCs w:val="24"/>
                <w:lang w:eastAsia="zh-CN" w:bidi="ar-SA"/>
              </w:rPr>
            </w:pPr>
            <w:r>
              <w:rPr>
                <w:rFonts w:hint="eastAsia" w:ascii="黑体" w:hAnsi="黑体" w:eastAsia="黑体" w:cs="黑体"/>
                <w:b w:val="0"/>
                <w:bCs w:val="0"/>
                <w:color w:val="000000"/>
                <w:kern w:val="0"/>
                <w:sz w:val="24"/>
                <w:szCs w:val="24"/>
                <w:lang w:eastAsia="zh-CN" w:bidi="ar-SA"/>
              </w:rPr>
              <w:t>序号</w:t>
            </w:r>
          </w:p>
        </w:tc>
        <w:tc>
          <w:tcPr>
            <w:tcW w:w="9662" w:type="dxa"/>
            <w:noWrap w:val="0"/>
            <w:vAlign w:val="center"/>
          </w:tcPr>
          <w:p>
            <w:pPr>
              <w:widowControl/>
              <w:adjustRightInd w:val="0"/>
              <w:snapToGrid w:val="0"/>
              <w:spacing w:line="420" w:lineRule="exact"/>
              <w:jc w:val="center"/>
              <w:rPr>
                <w:rFonts w:hint="eastAsia" w:ascii="黑体" w:hAnsi="黑体" w:eastAsia="黑体" w:cs="黑体"/>
                <w:b w:val="0"/>
                <w:bCs w:val="0"/>
                <w:color w:val="000000"/>
                <w:kern w:val="0"/>
                <w:sz w:val="24"/>
                <w:szCs w:val="24"/>
                <w:lang w:eastAsia="zh-CN" w:bidi="ar-SA"/>
              </w:rPr>
            </w:pPr>
            <w:r>
              <w:rPr>
                <w:rFonts w:hint="eastAsia" w:ascii="黑体" w:hAnsi="黑体" w:eastAsia="黑体" w:cs="黑体"/>
                <w:b w:val="0"/>
                <w:bCs w:val="0"/>
                <w:color w:val="000000"/>
                <w:kern w:val="0"/>
                <w:sz w:val="24"/>
                <w:szCs w:val="24"/>
                <w:lang w:eastAsia="zh-CN" w:bidi="ar-SA"/>
              </w:rPr>
              <w:t>检  查  内  容</w:t>
            </w:r>
          </w:p>
        </w:tc>
        <w:tc>
          <w:tcPr>
            <w:tcW w:w="1363" w:type="dxa"/>
            <w:noWrap w:val="0"/>
            <w:vAlign w:val="center"/>
          </w:tcPr>
          <w:p>
            <w:pPr>
              <w:widowControl/>
              <w:adjustRightInd w:val="0"/>
              <w:snapToGrid w:val="0"/>
              <w:spacing w:line="420" w:lineRule="exact"/>
              <w:jc w:val="center"/>
              <w:rPr>
                <w:rFonts w:hint="eastAsia" w:ascii="黑体" w:hAnsi="黑体" w:eastAsia="黑体" w:cs="黑体"/>
                <w:b w:val="0"/>
                <w:bCs w:val="0"/>
                <w:color w:val="000000"/>
                <w:kern w:val="0"/>
                <w:sz w:val="24"/>
                <w:szCs w:val="24"/>
                <w:lang w:eastAsia="zh-CN" w:bidi="ar-SA"/>
              </w:rPr>
            </w:pPr>
            <w:r>
              <w:rPr>
                <w:rFonts w:hint="eastAsia" w:ascii="黑体" w:hAnsi="黑体" w:eastAsia="黑体" w:cs="黑体"/>
                <w:b w:val="0"/>
                <w:bCs w:val="0"/>
                <w:color w:val="000000"/>
                <w:kern w:val="0"/>
                <w:sz w:val="24"/>
                <w:szCs w:val="24"/>
                <w:lang w:eastAsia="zh-CN" w:bidi="ar-SA"/>
              </w:rPr>
              <w:t>评价</w:t>
            </w:r>
          </w:p>
        </w:tc>
        <w:tc>
          <w:tcPr>
            <w:tcW w:w="959" w:type="dxa"/>
            <w:noWrap w:val="0"/>
            <w:vAlign w:val="center"/>
          </w:tcPr>
          <w:p>
            <w:pPr>
              <w:widowControl/>
              <w:adjustRightInd w:val="0"/>
              <w:snapToGrid w:val="0"/>
              <w:spacing w:line="420" w:lineRule="exact"/>
              <w:jc w:val="center"/>
              <w:rPr>
                <w:rFonts w:hint="eastAsia" w:ascii="黑体" w:hAnsi="黑体" w:eastAsia="黑体" w:cs="黑体"/>
                <w:b w:val="0"/>
                <w:bCs w:val="0"/>
                <w:color w:val="000000"/>
                <w:kern w:val="0"/>
                <w:sz w:val="24"/>
                <w:szCs w:val="24"/>
                <w:lang w:eastAsia="zh-CN" w:bidi="ar-SA"/>
              </w:rPr>
            </w:pPr>
            <w:r>
              <w:rPr>
                <w:rFonts w:hint="eastAsia" w:ascii="黑体" w:hAnsi="黑体" w:eastAsia="黑体" w:cs="黑体"/>
                <w:b w:val="0"/>
                <w:bCs w:val="0"/>
                <w:color w:val="000000"/>
                <w:kern w:val="0"/>
                <w:sz w:val="24"/>
                <w:szCs w:val="24"/>
                <w:lang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0" w:type="dxa"/>
            <w:vMerge w:val="restart"/>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1.食品安全自查</w:t>
            </w:r>
          </w:p>
        </w:tc>
        <w:tc>
          <w:tcPr>
            <w:tcW w:w="950"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*1.1</w:t>
            </w:r>
          </w:p>
        </w:tc>
        <w:tc>
          <w:tcPr>
            <w:tcW w:w="9662"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具有食品安全自查制度。</w:t>
            </w:r>
          </w:p>
        </w:tc>
        <w:tc>
          <w:tcPr>
            <w:tcW w:w="1363" w:type="dxa"/>
            <w:noWrap w:val="0"/>
            <w:vAlign w:val="center"/>
          </w:tcPr>
          <w:p>
            <w:pPr>
              <w:widowControl/>
              <w:adjustRightInd w:val="0"/>
              <w:snapToGrid w:val="0"/>
              <w:spacing w:line="420" w:lineRule="exact"/>
              <w:jc w:val="center"/>
              <w:rPr>
                <w:rFonts w:hint="eastAsia" w:ascii="宋体" w:hAnsi="宋体" w:eastAsia="宋体" w:cs="宋体"/>
                <w:b/>
                <w:bCs/>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9" w:type="dxa"/>
            <w:noWrap w:val="0"/>
            <w:vAlign w:val="center"/>
          </w:tcPr>
          <w:p>
            <w:pPr>
              <w:widowControl/>
              <w:adjustRightInd w:val="0"/>
              <w:snapToGrid w:val="0"/>
              <w:spacing w:line="420" w:lineRule="exact"/>
              <w:jc w:val="center"/>
              <w:rPr>
                <w:rFonts w:hint="eastAsia" w:ascii="宋体" w:hAnsi="宋体" w:eastAsia="宋体" w:cs="宋体"/>
                <w:b/>
                <w:bCs/>
                <w:color w:val="000000"/>
                <w:kern w:val="0"/>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0"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50"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*1.2</w:t>
            </w:r>
          </w:p>
        </w:tc>
        <w:tc>
          <w:tcPr>
            <w:tcW w:w="9662"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按照自查制度规定，定期对食品安全状况进行检查评价。</w:t>
            </w:r>
          </w:p>
        </w:tc>
        <w:tc>
          <w:tcPr>
            <w:tcW w:w="1363" w:type="dxa"/>
            <w:noWrap w:val="0"/>
            <w:vAlign w:val="center"/>
          </w:tcPr>
          <w:p>
            <w:pPr>
              <w:widowControl/>
              <w:adjustRightInd w:val="0"/>
              <w:snapToGrid w:val="0"/>
              <w:spacing w:line="420" w:lineRule="exact"/>
              <w:jc w:val="center"/>
              <w:rPr>
                <w:rFonts w:hint="eastAsia" w:ascii="宋体" w:hAnsi="宋体" w:eastAsia="宋体" w:cs="宋体"/>
                <w:b/>
                <w:bCs/>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9" w:type="dxa"/>
            <w:noWrap w:val="0"/>
            <w:vAlign w:val="center"/>
          </w:tcPr>
          <w:p>
            <w:pPr>
              <w:widowControl/>
              <w:adjustRightInd w:val="0"/>
              <w:snapToGrid w:val="0"/>
              <w:spacing w:line="420" w:lineRule="exact"/>
              <w:jc w:val="center"/>
              <w:rPr>
                <w:rFonts w:hint="eastAsia" w:ascii="宋体" w:hAnsi="宋体" w:eastAsia="宋体" w:cs="宋体"/>
                <w:b/>
                <w:bCs/>
                <w:color w:val="000000"/>
                <w:kern w:val="0"/>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0"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50"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*1.3</w:t>
            </w:r>
          </w:p>
        </w:tc>
        <w:tc>
          <w:tcPr>
            <w:tcW w:w="9662"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经营条件发生变化或自查发现问题，不符合食品安全要求的，立即采取措施整改。</w:t>
            </w:r>
          </w:p>
        </w:tc>
        <w:tc>
          <w:tcPr>
            <w:tcW w:w="1363" w:type="dxa"/>
            <w:noWrap w:val="0"/>
            <w:vAlign w:val="center"/>
          </w:tcPr>
          <w:p>
            <w:pPr>
              <w:widowControl/>
              <w:adjustRightInd w:val="0"/>
              <w:snapToGrid w:val="0"/>
              <w:spacing w:line="420" w:lineRule="exact"/>
              <w:jc w:val="center"/>
              <w:rPr>
                <w:rFonts w:hint="eastAsia" w:ascii="宋体" w:hAnsi="宋体" w:eastAsia="宋体" w:cs="宋体"/>
                <w:b/>
                <w:bCs/>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9" w:type="dxa"/>
            <w:noWrap w:val="0"/>
            <w:vAlign w:val="center"/>
          </w:tcPr>
          <w:p>
            <w:pPr>
              <w:widowControl/>
              <w:adjustRightInd w:val="0"/>
              <w:snapToGrid w:val="0"/>
              <w:spacing w:line="420" w:lineRule="exact"/>
              <w:jc w:val="center"/>
              <w:rPr>
                <w:rFonts w:hint="eastAsia" w:ascii="宋体" w:hAnsi="宋体" w:eastAsia="宋体" w:cs="宋体"/>
                <w:b/>
                <w:bCs/>
                <w:color w:val="000000"/>
                <w:kern w:val="0"/>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0"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50"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*1.4</w:t>
            </w:r>
          </w:p>
        </w:tc>
        <w:tc>
          <w:tcPr>
            <w:tcW w:w="9662"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自查发现食品安全事故潜在风险时，立即停止经营活动，并向所在地县级市场监管部门报告。</w:t>
            </w:r>
          </w:p>
        </w:tc>
        <w:tc>
          <w:tcPr>
            <w:tcW w:w="1363" w:type="dxa"/>
            <w:noWrap w:val="0"/>
            <w:vAlign w:val="center"/>
          </w:tcPr>
          <w:p>
            <w:pPr>
              <w:widowControl/>
              <w:adjustRightInd w:val="0"/>
              <w:snapToGrid w:val="0"/>
              <w:spacing w:line="420" w:lineRule="exact"/>
              <w:jc w:val="center"/>
              <w:rPr>
                <w:rFonts w:hint="eastAsia" w:ascii="宋体" w:hAnsi="宋体" w:eastAsia="宋体" w:cs="宋体"/>
                <w:b/>
                <w:bCs/>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9" w:type="dxa"/>
            <w:noWrap w:val="0"/>
            <w:vAlign w:val="center"/>
          </w:tcPr>
          <w:p>
            <w:pPr>
              <w:widowControl/>
              <w:adjustRightInd w:val="0"/>
              <w:snapToGrid w:val="0"/>
              <w:spacing w:line="420" w:lineRule="exact"/>
              <w:jc w:val="center"/>
              <w:rPr>
                <w:rFonts w:hint="eastAsia" w:ascii="宋体" w:hAnsi="宋体" w:eastAsia="宋体" w:cs="宋体"/>
                <w:b/>
                <w:bCs/>
                <w:color w:val="000000"/>
                <w:kern w:val="0"/>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0"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2.食品安全追溯体系</w:t>
            </w:r>
          </w:p>
        </w:tc>
        <w:tc>
          <w:tcPr>
            <w:tcW w:w="950"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*2.1</w:t>
            </w:r>
          </w:p>
        </w:tc>
        <w:tc>
          <w:tcPr>
            <w:tcW w:w="9662"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具有食品安全追溯体系，按照法律法规规定如实记录并保存进货查验、食品销售等信息，保证食品可追溯。</w:t>
            </w:r>
          </w:p>
        </w:tc>
        <w:tc>
          <w:tcPr>
            <w:tcW w:w="1363" w:type="dxa"/>
            <w:noWrap w:val="0"/>
            <w:vAlign w:val="center"/>
          </w:tcPr>
          <w:p>
            <w:pPr>
              <w:widowControl/>
              <w:adjustRightInd w:val="0"/>
              <w:snapToGrid w:val="0"/>
              <w:spacing w:line="420" w:lineRule="exact"/>
              <w:jc w:val="center"/>
              <w:rPr>
                <w:rFonts w:hint="eastAsia" w:ascii="宋体" w:hAnsi="宋体" w:eastAsia="宋体" w:cs="宋体"/>
                <w:b/>
                <w:bCs/>
                <w:color w:val="000000"/>
                <w:kern w:val="0"/>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959" w:type="dxa"/>
            <w:noWrap w:val="0"/>
            <w:vAlign w:val="center"/>
          </w:tcPr>
          <w:p>
            <w:pPr>
              <w:widowControl/>
              <w:adjustRightInd w:val="0"/>
              <w:snapToGrid w:val="0"/>
              <w:spacing w:line="420" w:lineRule="exact"/>
              <w:jc w:val="center"/>
              <w:rPr>
                <w:rFonts w:hint="eastAsia" w:ascii="宋体" w:hAnsi="宋体" w:eastAsia="宋体" w:cs="宋体"/>
                <w:b/>
                <w:bCs/>
                <w:color w:val="000000"/>
                <w:kern w:val="0"/>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0" w:type="dxa"/>
            <w:vMerge w:val="restart"/>
            <w:noWrap w:val="0"/>
            <w:vAlign w:val="center"/>
          </w:tcPr>
          <w:p>
            <w:pPr>
              <w:numPr>
                <w:ilvl w:val="0"/>
                <w:numId w:val="0"/>
              </w:num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3.许可及备案</w:t>
            </w:r>
          </w:p>
        </w:tc>
        <w:tc>
          <w:tcPr>
            <w:tcW w:w="950"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3.1</w:t>
            </w:r>
          </w:p>
        </w:tc>
        <w:tc>
          <w:tcPr>
            <w:tcW w:w="9662"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食品经营许可证合法有效。</w:t>
            </w:r>
          </w:p>
        </w:tc>
        <w:tc>
          <w:tcPr>
            <w:tcW w:w="1363" w:type="dxa"/>
            <w:noWrap w:val="0"/>
            <w:vAlign w:val="center"/>
          </w:tcPr>
          <w:p>
            <w:pPr>
              <w:spacing w:line="420" w:lineRule="exact"/>
              <w:ind w:left="-9"/>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959"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0"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50"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3.2</w:t>
            </w:r>
          </w:p>
        </w:tc>
        <w:tc>
          <w:tcPr>
            <w:tcW w:w="9662"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仅销售预包装食品的食品经营者依法进行备案。</w:t>
            </w:r>
          </w:p>
        </w:tc>
        <w:tc>
          <w:tcPr>
            <w:tcW w:w="1363" w:type="dxa"/>
            <w:noWrap w:val="0"/>
            <w:vAlign w:val="center"/>
          </w:tcPr>
          <w:p>
            <w:pPr>
              <w:spacing w:line="420" w:lineRule="exact"/>
              <w:ind w:left="-9"/>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959"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0"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50"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3.3</w:t>
            </w:r>
          </w:p>
        </w:tc>
        <w:tc>
          <w:tcPr>
            <w:tcW w:w="9662"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实际经营事项与仅销售预包装食品备案信息采集表中相关内容相符。</w:t>
            </w:r>
          </w:p>
        </w:tc>
        <w:tc>
          <w:tcPr>
            <w:tcW w:w="1363" w:type="dxa"/>
            <w:noWrap w:val="0"/>
            <w:vAlign w:val="center"/>
          </w:tcPr>
          <w:p>
            <w:pPr>
              <w:spacing w:line="420" w:lineRule="exact"/>
              <w:ind w:left="-9" w:leftChars="0"/>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9"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0"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50"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3.4</w:t>
            </w:r>
          </w:p>
        </w:tc>
        <w:tc>
          <w:tcPr>
            <w:tcW w:w="9662"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在经营场所显著位置公示食品经营许可证正本，或以电子形式公示。</w:t>
            </w:r>
          </w:p>
        </w:tc>
        <w:tc>
          <w:tcPr>
            <w:tcW w:w="1363" w:type="dxa"/>
            <w:noWrap w:val="0"/>
            <w:vAlign w:val="center"/>
          </w:tcPr>
          <w:p>
            <w:pPr>
              <w:spacing w:line="420" w:lineRule="exact"/>
              <w:ind w:left="-9" w:leftChars="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959" w:type="dxa"/>
            <w:noWrap w:val="0"/>
            <w:vAlign w:val="center"/>
          </w:tcPr>
          <w:p>
            <w:pPr>
              <w:spacing w:line="420" w:lineRule="exact"/>
              <w:ind w:left="-9"/>
              <w:jc w:val="both"/>
              <w:rPr>
                <w:rFonts w:hint="eastAsia" w:ascii="宋体" w:hAnsi="宋体" w:eastAsia="宋体" w:cs="宋体"/>
                <w:color w:val="000000"/>
                <w:kern w:val="2"/>
                <w:sz w:val="24"/>
                <w:szCs w:val="24"/>
                <w:lang w:val="en-US" w:eastAsia="zh-CN" w:bidi="ar-SA"/>
              </w:rPr>
            </w:pPr>
          </w:p>
        </w:tc>
      </w:tr>
    </w:tbl>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br w:type="page"/>
      </w:r>
    </w:p>
    <w:tbl>
      <w:tblPr>
        <w:tblStyle w:val="6"/>
        <w:tblW w:w="131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8"/>
        <w:gridCol w:w="889"/>
        <w:gridCol w:w="9067"/>
        <w:gridCol w:w="1289"/>
        <w:gridCol w:w="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restart"/>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3.5</w:t>
            </w:r>
          </w:p>
        </w:tc>
        <w:tc>
          <w:tcPr>
            <w:tcW w:w="9669" w:type="dxa"/>
            <w:noWrap w:val="0"/>
            <w:vAlign w:val="center"/>
          </w:tcPr>
          <w:p>
            <w:pPr>
              <w:spacing w:before="0" w:line="360" w:lineRule="exact"/>
              <w:jc w:val="both"/>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通过第三方平台进行交易的食品销售者在其经营活动主页面显著位置公示食品经营许可证（或仅销售预包装食品备案信息采集表）；通过自建网站交易的食品销售者在其网站首页显著位置公示食品经营许可证（或仅销售预包装食品备案信息采集表）。</w:t>
            </w:r>
          </w:p>
        </w:tc>
        <w:tc>
          <w:tcPr>
            <w:tcW w:w="1362" w:type="dxa"/>
            <w:noWrap w:val="0"/>
            <w:vAlign w:val="center"/>
          </w:tcPr>
          <w:p>
            <w:pPr>
              <w:spacing w:line="420" w:lineRule="exact"/>
              <w:ind w:left="-9" w:leftChars="0"/>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3.6</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未发现法律法规规定的禁止性行为：</w:t>
            </w:r>
          </w:p>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①伪造、涂改、倒卖、出租、出借、转让许可证或备案编号。</w:t>
            </w:r>
          </w:p>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②未获得许可或取得备案，开展食品销售活动。</w:t>
            </w:r>
          </w:p>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③超出许可经营项目范围开展销售活动。</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restart"/>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4.场所及布局</w:t>
            </w: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4.1</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与有毒、有害场所以及其他污染源保持规定的距离。</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4.2</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具有与销售的食品品种、数量相适应的贮存、销售等场所。</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4.3</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保持场所环境整洁卫生。</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*4.4</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具有合理的设备布局和工艺流程，避免食品接触有毒物、不洁物，防止交叉污染。</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*4.5</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进口冷链食品应当专用通道进货、专区存放、专区销售，不得与其他食品混放贮存和销售。</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restart"/>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5.设施设备</w:t>
            </w: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5.1</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具有与销售的食品品种、数量相适应的设施设备，配备相应的消毒、更衣、盥洗、采光、照明、通风、防腐、防尘、防蝇、防鼠、防虫、洗涤以及处理废水、存放垃圾和废弃物的设施设备。</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5.2</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用水应当符合国家规定的生活饮用水卫生标准。</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5.3</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使用的洗涤剂、消毒剂应当对人体安全、无害。</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0" w:hRule="atLeast"/>
          <w:jc w:val="center"/>
        </w:trPr>
        <w:tc>
          <w:tcPr>
            <w:tcW w:w="109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6.禁止销售的食品</w:t>
            </w: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*6.1</w:t>
            </w:r>
          </w:p>
        </w:tc>
        <w:tc>
          <w:tcPr>
            <w:tcW w:w="9669" w:type="dxa"/>
            <w:noWrap w:val="0"/>
            <w:vAlign w:val="center"/>
          </w:tcPr>
          <w:p>
            <w:pPr>
              <w:spacing w:before="0" w:line="360" w:lineRule="exact"/>
              <w:jc w:val="both"/>
              <w:rPr>
                <w:rFonts w:hint="eastAsia" w:ascii="宋体" w:hAnsi="宋体" w:eastAsia="宋体" w:cs="宋体"/>
                <w:kern w:val="2"/>
                <w:sz w:val="24"/>
                <w:szCs w:val="24"/>
                <w:lang w:val="zh-CN" w:eastAsia="zh-CN" w:bidi="ar-SA"/>
              </w:rPr>
            </w:pPr>
            <w:r>
              <w:rPr>
                <w:rFonts w:hint="eastAsia" w:ascii="宋体" w:hAnsi="宋体" w:eastAsia="宋体" w:cs="宋体"/>
                <w:kern w:val="2"/>
                <w:sz w:val="24"/>
                <w:szCs w:val="24"/>
                <w:lang w:val="zh-CN" w:eastAsia="zh-CN" w:bidi="ar-SA"/>
              </w:rPr>
              <w:t>未发现法律法规禁止销售的食品：</w:t>
            </w:r>
          </w:p>
          <w:p>
            <w:pPr>
              <w:spacing w:before="0" w:line="360" w:lineRule="exact"/>
              <w:jc w:val="both"/>
              <w:rPr>
                <w:rFonts w:hint="eastAsia" w:ascii="宋体" w:hAnsi="宋体" w:eastAsia="宋体" w:cs="宋体"/>
                <w:kern w:val="2"/>
                <w:sz w:val="24"/>
                <w:szCs w:val="24"/>
                <w:lang w:val="zh-CN" w:eastAsia="zh-CN" w:bidi="ar-SA"/>
              </w:rPr>
            </w:pPr>
            <w:r>
              <w:rPr>
                <w:rFonts w:hint="eastAsia" w:ascii="宋体" w:hAnsi="宋体" w:eastAsia="宋体" w:cs="宋体"/>
                <w:kern w:val="2"/>
                <w:sz w:val="24"/>
                <w:szCs w:val="24"/>
                <w:lang w:val="zh-CN" w:eastAsia="zh-CN" w:bidi="ar-SA"/>
              </w:rPr>
              <w:t>（一）用非食品原料生产的食品或者添加食品添加剂以外的化学物质和其他可能危害人体健康物质的食品，或者用回收食品作为原料生产的食品；</w:t>
            </w:r>
          </w:p>
          <w:p>
            <w:pPr>
              <w:spacing w:before="0" w:line="360" w:lineRule="exact"/>
              <w:jc w:val="both"/>
              <w:rPr>
                <w:rFonts w:hint="eastAsia" w:ascii="宋体" w:hAnsi="宋体" w:eastAsia="宋体" w:cs="宋体"/>
                <w:kern w:val="2"/>
                <w:sz w:val="24"/>
                <w:szCs w:val="24"/>
                <w:lang w:val="zh-CN" w:eastAsia="zh-CN" w:bidi="ar-SA"/>
              </w:rPr>
            </w:pPr>
            <w:r>
              <w:rPr>
                <w:rFonts w:hint="eastAsia" w:ascii="宋体" w:hAnsi="宋体" w:eastAsia="宋体" w:cs="宋体"/>
                <w:kern w:val="2"/>
                <w:sz w:val="24"/>
                <w:szCs w:val="24"/>
                <w:lang w:val="zh-CN" w:eastAsia="zh-CN" w:bidi="ar-SA"/>
              </w:rPr>
              <w:t>（二）致病性微生物，农药残留、兽药残留、生物毒素、重金属等污染物质以及其他危害人体健康的物质含量超过食品安全标准限量的食品、食品添加剂、食品相关产品；</w:t>
            </w:r>
          </w:p>
          <w:p>
            <w:pPr>
              <w:spacing w:before="0" w:line="360" w:lineRule="exact"/>
              <w:jc w:val="both"/>
              <w:rPr>
                <w:rFonts w:hint="eastAsia" w:ascii="宋体" w:hAnsi="宋体" w:eastAsia="宋体" w:cs="宋体"/>
                <w:kern w:val="2"/>
                <w:sz w:val="24"/>
                <w:szCs w:val="24"/>
                <w:lang w:val="zh-CN" w:eastAsia="zh-CN" w:bidi="ar-SA"/>
              </w:rPr>
            </w:pPr>
            <w:r>
              <w:rPr>
                <w:rFonts w:hint="eastAsia" w:ascii="宋体" w:hAnsi="宋体" w:eastAsia="宋体" w:cs="宋体"/>
                <w:kern w:val="2"/>
                <w:sz w:val="24"/>
                <w:szCs w:val="24"/>
                <w:lang w:val="zh-CN" w:eastAsia="zh-CN" w:bidi="ar-SA"/>
              </w:rPr>
              <w:t>（三）用超过保质期的食品原料、食品添加剂生产的食品、食品添加剂；</w:t>
            </w:r>
          </w:p>
          <w:p>
            <w:pPr>
              <w:spacing w:before="0" w:line="360" w:lineRule="exact"/>
              <w:jc w:val="both"/>
              <w:rPr>
                <w:rFonts w:hint="eastAsia" w:ascii="宋体" w:hAnsi="宋体" w:eastAsia="宋体" w:cs="宋体"/>
                <w:kern w:val="2"/>
                <w:sz w:val="24"/>
                <w:szCs w:val="24"/>
                <w:lang w:val="zh-CN" w:eastAsia="zh-CN" w:bidi="ar-SA"/>
              </w:rPr>
            </w:pPr>
            <w:r>
              <w:rPr>
                <w:rFonts w:hint="eastAsia" w:ascii="宋体" w:hAnsi="宋体" w:eastAsia="宋体" w:cs="宋体"/>
                <w:kern w:val="2"/>
                <w:sz w:val="24"/>
                <w:szCs w:val="24"/>
                <w:lang w:val="zh-CN" w:eastAsia="zh-CN" w:bidi="ar-SA"/>
              </w:rPr>
              <w:t>（四）超范围、超限量使用食品添加剂的食品；</w:t>
            </w:r>
          </w:p>
          <w:p>
            <w:pPr>
              <w:spacing w:before="0" w:line="360" w:lineRule="exact"/>
              <w:jc w:val="both"/>
              <w:rPr>
                <w:rFonts w:hint="eastAsia" w:ascii="宋体" w:hAnsi="宋体" w:eastAsia="宋体" w:cs="宋体"/>
                <w:kern w:val="2"/>
                <w:sz w:val="24"/>
                <w:szCs w:val="24"/>
                <w:lang w:val="zh-CN" w:eastAsia="zh-CN" w:bidi="ar-SA"/>
              </w:rPr>
            </w:pPr>
            <w:r>
              <w:rPr>
                <w:rFonts w:hint="eastAsia" w:ascii="宋体" w:hAnsi="宋体" w:eastAsia="宋体" w:cs="宋体"/>
                <w:kern w:val="2"/>
                <w:sz w:val="24"/>
                <w:szCs w:val="24"/>
                <w:lang w:val="zh-CN" w:eastAsia="zh-CN" w:bidi="ar-SA"/>
              </w:rPr>
              <w:t>（五）营养成分不符合食品安全标准的专供婴幼儿和其他特定人群的主辅食品；</w:t>
            </w:r>
          </w:p>
          <w:p>
            <w:pPr>
              <w:spacing w:before="0" w:line="360" w:lineRule="exact"/>
              <w:jc w:val="both"/>
              <w:rPr>
                <w:rFonts w:hint="eastAsia" w:ascii="宋体" w:hAnsi="宋体" w:eastAsia="宋体" w:cs="宋体"/>
                <w:kern w:val="2"/>
                <w:sz w:val="24"/>
                <w:szCs w:val="24"/>
                <w:lang w:val="zh-CN" w:eastAsia="zh-CN" w:bidi="ar-SA"/>
              </w:rPr>
            </w:pPr>
            <w:r>
              <w:rPr>
                <w:rFonts w:hint="eastAsia" w:ascii="宋体" w:hAnsi="宋体" w:eastAsia="宋体" w:cs="宋体"/>
                <w:kern w:val="2"/>
                <w:sz w:val="24"/>
                <w:szCs w:val="24"/>
                <w:lang w:val="zh-CN" w:eastAsia="zh-CN" w:bidi="ar-SA"/>
              </w:rPr>
              <w:t>（六）腐败变质、油脂酸败、霉变生虫、污秽不洁、混有异物、掺假掺杂或者感官性状异常的食品、食品添加剂；</w:t>
            </w:r>
          </w:p>
          <w:p>
            <w:pPr>
              <w:spacing w:before="0" w:line="360" w:lineRule="exact"/>
              <w:jc w:val="both"/>
              <w:rPr>
                <w:rFonts w:hint="eastAsia" w:ascii="宋体" w:hAnsi="宋体" w:eastAsia="宋体" w:cs="宋体"/>
                <w:kern w:val="2"/>
                <w:sz w:val="24"/>
                <w:szCs w:val="24"/>
                <w:lang w:val="zh-CN" w:eastAsia="zh-CN" w:bidi="ar-SA"/>
              </w:rPr>
            </w:pPr>
            <w:r>
              <w:rPr>
                <w:rFonts w:hint="eastAsia" w:ascii="宋体" w:hAnsi="宋体" w:eastAsia="宋体" w:cs="宋体"/>
                <w:kern w:val="2"/>
                <w:sz w:val="24"/>
                <w:szCs w:val="24"/>
                <w:lang w:val="zh-CN" w:eastAsia="zh-CN" w:bidi="ar-SA"/>
              </w:rPr>
              <w:t>（七）病死、毒死或者死因不明的禽、畜、兽、水产动物肉类及其制品；</w:t>
            </w:r>
          </w:p>
          <w:p>
            <w:pPr>
              <w:spacing w:before="0" w:line="360" w:lineRule="exact"/>
              <w:jc w:val="both"/>
              <w:rPr>
                <w:rFonts w:hint="eastAsia" w:ascii="宋体" w:hAnsi="宋体" w:eastAsia="宋体" w:cs="宋体"/>
                <w:kern w:val="2"/>
                <w:sz w:val="24"/>
                <w:szCs w:val="24"/>
                <w:lang w:val="zh-CN" w:eastAsia="zh-CN" w:bidi="ar-SA"/>
              </w:rPr>
            </w:pPr>
            <w:r>
              <w:rPr>
                <w:rFonts w:hint="eastAsia" w:ascii="宋体" w:hAnsi="宋体" w:eastAsia="宋体" w:cs="宋体"/>
                <w:kern w:val="2"/>
                <w:sz w:val="24"/>
                <w:szCs w:val="24"/>
                <w:lang w:val="zh-CN" w:eastAsia="zh-CN" w:bidi="ar-SA"/>
              </w:rPr>
              <w:t>（八）未按规定进行检疫或者检疫不合格的肉类，或者未经检验或者检验不合格的肉类制品；</w:t>
            </w:r>
          </w:p>
          <w:p>
            <w:pPr>
              <w:spacing w:before="0" w:line="360" w:lineRule="exact"/>
              <w:jc w:val="both"/>
              <w:rPr>
                <w:rFonts w:hint="eastAsia" w:ascii="宋体" w:hAnsi="宋体" w:eastAsia="宋体" w:cs="宋体"/>
                <w:kern w:val="2"/>
                <w:sz w:val="24"/>
                <w:szCs w:val="24"/>
                <w:lang w:val="zh-CN" w:eastAsia="zh-CN" w:bidi="ar-SA"/>
              </w:rPr>
            </w:pPr>
            <w:r>
              <w:rPr>
                <w:rFonts w:hint="eastAsia" w:ascii="宋体" w:hAnsi="宋体" w:eastAsia="宋体" w:cs="宋体"/>
                <w:kern w:val="2"/>
                <w:sz w:val="24"/>
                <w:szCs w:val="24"/>
                <w:lang w:val="zh-CN" w:eastAsia="zh-CN" w:bidi="ar-SA"/>
              </w:rPr>
              <w:t>（九）被包装材料、容器、运输工具等污染的食品、食品添加剂；</w:t>
            </w:r>
          </w:p>
          <w:p>
            <w:pPr>
              <w:spacing w:before="0" w:line="360" w:lineRule="exact"/>
              <w:jc w:val="both"/>
              <w:rPr>
                <w:rFonts w:hint="eastAsia" w:ascii="宋体" w:hAnsi="宋体" w:eastAsia="宋体" w:cs="宋体"/>
                <w:kern w:val="2"/>
                <w:sz w:val="24"/>
                <w:szCs w:val="24"/>
                <w:lang w:val="zh-CN" w:eastAsia="zh-CN" w:bidi="ar-SA"/>
              </w:rPr>
            </w:pPr>
            <w:r>
              <w:rPr>
                <w:rFonts w:hint="eastAsia" w:ascii="宋体" w:hAnsi="宋体" w:eastAsia="宋体" w:cs="宋体"/>
                <w:kern w:val="2"/>
                <w:sz w:val="24"/>
                <w:szCs w:val="24"/>
                <w:lang w:val="zh-CN" w:eastAsia="zh-CN" w:bidi="ar-SA"/>
              </w:rPr>
              <w:t>（十）标注虚假生产日期、保质期或者超过保质期的食品、食品添加剂；</w:t>
            </w:r>
          </w:p>
          <w:p>
            <w:pPr>
              <w:spacing w:before="0" w:line="360" w:lineRule="exact"/>
              <w:jc w:val="both"/>
              <w:rPr>
                <w:rFonts w:hint="eastAsia" w:ascii="宋体" w:hAnsi="宋体" w:eastAsia="宋体" w:cs="宋体"/>
                <w:kern w:val="2"/>
                <w:sz w:val="24"/>
                <w:szCs w:val="24"/>
                <w:lang w:val="zh-CN" w:eastAsia="zh-CN" w:bidi="ar-SA"/>
              </w:rPr>
            </w:pPr>
            <w:r>
              <w:rPr>
                <w:rFonts w:hint="eastAsia" w:ascii="宋体" w:hAnsi="宋体" w:eastAsia="宋体" w:cs="宋体"/>
                <w:kern w:val="2"/>
                <w:sz w:val="24"/>
                <w:szCs w:val="24"/>
                <w:lang w:val="zh-CN" w:eastAsia="zh-CN" w:bidi="ar-SA"/>
              </w:rPr>
              <w:t>（十一）无标签的预包装食品、食品添加剂；</w:t>
            </w:r>
          </w:p>
          <w:p>
            <w:pPr>
              <w:spacing w:before="0" w:line="360" w:lineRule="exact"/>
              <w:jc w:val="both"/>
              <w:rPr>
                <w:rFonts w:hint="eastAsia" w:ascii="宋体" w:hAnsi="宋体" w:eastAsia="宋体" w:cs="宋体"/>
                <w:kern w:val="2"/>
                <w:sz w:val="24"/>
                <w:szCs w:val="24"/>
                <w:lang w:val="zh-CN" w:eastAsia="zh-CN" w:bidi="ar-SA"/>
              </w:rPr>
            </w:pPr>
            <w:r>
              <w:rPr>
                <w:rFonts w:hint="eastAsia" w:ascii="宋体" w:hAnsi="宋体" w:eastAsia="宋体" w:cs="宋体"/>
                <w:kern w:val="2"/>
                <w:sz w:val="24"/>
                <w:szCs w:val="24"/>
                <w:lang w:val="zh-CN" w:eastAsia="zh-CN" w:bidi="ar-SA"/>
              </w:rPr>
              <w:t>（十二）国家为防病等特殊需要明令禁止生产经营的食品；</w:t>
            </w:r>
          </w:p>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zh-CN" w:eastAsia="zh-CN" w:bidi="ar-SA"/>
              </w:rPr>
              <w:t>（十三）其他不符合法律、法规或者食品安全标准的食品、食品添加剂、食品相关产品。</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094" w:type="dxa"/>
            <w:vMerge w:val="restart"/>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7.食品安全管理制度</w:t>
            </w: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7.1</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具有食品安全管理制度。</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vMerge w:val="restart"/>
            <w:noWrap w:val="0"/>
            <w:vAlign w:val="center"/>
          </w:tcPr>
          <w:p>
            <w:pPr>
              <w:spacing w:line="420" w:lineRule="exact"/>
              <w:ind w:left="-9"/>
              <w:jc w:val="center"/>
              <w:rPr>
                <w:rFonts w:hint="eastAsia" w:ascii="宋体" w:hAnsi="宋体" w:eastAsia="宋体" w:cs="宋体"/>
                <w:color w:val="000000"/>
                <w:kern w:val="2"/>
                <w:sz w:val="24"/>
                <w:szCs w:val="24"/>
                <w:lang w:eastAsia="zh-CN" w:bidi="ar-SA"/>
              </w:rPr>
            </w:pPr>
            <w:r>
              <w:rPr>
                <w:rFonts w:hint="eastAsia" w:ascii="宋体" w:hAnsi="宋体" w:eastAsia="宋体" w:cs="宋体"/>
                <w:kern w:val="2"/>
                <w:sz w:val="24"/>
                <w:szCs w:val="24"/>
                <w:lang w:val="en-US" w:eastAsia="zh-CN" w:bidi="ar-SA"/>
              </w:rPr>
              <w:t>食品销售企业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*7.2</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对职工开展食品安全知识培训。</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vMerge w:val="continue"/>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7.3</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加强食品检验工作。</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vMerge w:val="continue"/>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restart"/>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8.人员管理</w:t>
            </w:r>
          </w:p>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8.1</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企业主要负责人落实企业食品安全管理制度，对本企业的食品安全工作全面负责。</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vMerge w:val="restart"/>
            <w:noWrap w:val="0"/>
            <w:vAlign w:val="center"/>
          </w:tcPr>
          <w:p>
            <w:pPr>
              <w:spacing w:line="420" w:lineRule="exact"/>
              <w:ind w:left="-9"/>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食品销售企业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8.2</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配备食品安全管理人员，对其开展培训和考核。</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vMerge w:val="continue"/>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8.3</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食品安全管理人员经考核并具备食品安全管理能力。</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vMerge w:val="continue"/>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8.4</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食品安全管理人员接受食品安全监管部门监督抽查考核，考核情况公布。</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vMerge w:val="continue"/>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8.5</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具有从业人员健康管理制度。</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*8.6</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从事接触直接入口食品工作的人员应当每年进行健康体检，取得健康证明后方可上岗工作。</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*8.7</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患有国务院卫生行政部门规定的有碍食品安全疾病的人员，未从事接触直接入口食品的工作。</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8.8</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未发现法律法规规定的禁止从业行为：</w:t>
            </w:r>
          </w:p>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①被吊销许可证的食品生产经营者及其法定代表人、直接负责的主管人员和其他直接责任人员自处罚决定作出之日起五年内申请食品经营许可，或者从事食品销售管理工作、担任食品销售企业食品安全管理人员。</w:t>
            </w:r>
          </w:p>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②因食品安全犯罪被判处有期徒刑以上刑罚的，从事食品销售管理工作，担任食品销售企业食品安全管理人员。</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094" w:type="dxa"/>
            <w:vMerge w:val="restart"/>
            <w:noWrap w:val="0"/>
            <w:vAlign w:val="center"/>
          </w:tcPr>
          <w:p>
            <w:pPr>
              <w:numPr>
                <w:ilvl w:val="0"/>
                <w:numId w:val="0"/>
              </w:num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9.标签、</w:t>
            </w:r>
          </w:p>
          <w:p>
            <w:pPr>
              <w:numPr>
                <w:ilvl w:val="0"/>
                <w:numId w:val="0"/>
              </w:num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说明书</w:t>
            </w: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*9.1</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预包装食品包装上有标签。标签标明的内容符合法律、法规以及食品安全标准规定的各类事项。</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*9.2</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食品添加剂有标签、说明书和包装。标签上载明“食品添加剂”字样。提供给消费者直接使用的食品添加剂，标签上还注明“零售”字样。标签、说明书的内容还符合法律、法规以及食品安全标准规定的其他事项。</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*9.3</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进口预包装食品、食品添加剂有中文标签；依法应当有说明书的，还有中文说明书。标签、说明书标示原产国国名或地区区名（如香港、澳门、台湾），以及在中国依法登记注册的代理商、进口商或经销者的名称、地址和联系方式，可不标示生产者的名称、地址和联系方式，符合我国法律、行政法规的规定和食品安全国家标准的要求。</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9.4</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标签、说明书清楚、明显，生产日期、保质期等事项显著标注，容易辨识。转基因食品按照规定显著标示。</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*9.5</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未发现法律法规规定的禁止行为：</w:t>
            </w:r>
          </w:p>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①标签、说明书有虚假内容，涉及疾病预防、治疗功能；</w:t>
            </w:r>
          </w:p>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②食品和食品添加剂与其标签、说明书的内容不符；</w:t>
            </w:r>
          </w:p>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③对保健食品之外的其他食品，声称具有保健功能；</w:t>
            </w:r>
          </w:p>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④进口的预包装食品没有中文标签、中文说明书或者标签、说明书不符合法律法规标准相关规定。</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094" w:type="dxa"/>
            <w:vMerge w:val="restart"/>
            <w:noWrap w:val="0"/>
            <w:vAlign w:val="center"/>
          </w:tcPr>
          <w:p>
            <w:pPr>
              <w:numPr>
                <w:ilvl w:val="0"/>
                <w:numId w:val="0"/>
              </w:numPr>
              <w:spacing w:before="0" w:line="360" w:lineRule="exact"/>
              <w:ind w:lef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10.温度</w:t>
            </w:r>
          </w:p>
          <w:p>
            <w:pPr>
              <w:numPr>
                <w:ilvl w:val="0"/>
                <w:numId w:val="0"/>
              </w:numPr>
              <w:spacing w:before="0" w:line="360" w:lineRule="exact"/>
              <w:ind w:lef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全程控制</w:t>
            </w: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*10.1</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具有冷藏冷冻食品全程温度记录制度。</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10.2</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配备与冷藏冷冻食品品种、数量相适应的冷藏冷冻设施设备。</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*10.3</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按照标签标示或相关标准的温度、湿度等要求销售、贮存、运输冷藏冷冻食品及其他有温度、湿度等要求的食品。</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1094" w:type="dxa"/>
            <w:vMerge w:val="restart"/>
            <w:noWrap w:val="0"/>
            <w:vAlign w:val="center"/>
          </w:tcPr>
          <w:p>
            <w:pPr>
              <w:numPr>
                <w:ilvl w:val="0"/>
                <w:numId w:val="0"/>
              </w:num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11.购销</w:t>
            </w:r>
          </w:p>
          <w:p>
            <w:pPr>
              <w:numPr>
                <w:ilvl w:val="0"/>
                <w:numId w:val="0"/>
              </w:num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过程控制</w:t>
            </w: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*11.1</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查验食品供货者的许可证（或备案信息采集表）和食品出厂检验合格证或者其他合格证明。记录和凭证保存期限不得少于产品保质期满后六个月；没有明确保质期的，保存期限不得少于二年。</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0"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*11.2</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查验食品添加剂供货者的生产许可证和产品合格证明文件，记录所采购食品添加剂的名称、规格、数量、生产日期或者生产批号、保质期、进货日期以及供货者名称、地址、联系方式等内容，并保存相关凭证。记录和凭证保存期限不得少于产品保质期满后六个月；没有明确保质期的，保存期限不得少于二年。</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*11.3</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具有食品进货查验记录制度。</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vMerge w:val="restart"/>
            <w:noWrap w:val="0"/>
            <w:vAlign w:val="center"/>
          </w:tcPr>
          <w:p>
            <w:pPr>
              <w:spacing w:line="420" w:lineRule="exact"/>
              <w:ind w:left="-9"/>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食品销售企业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*11.4</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记录所采购食品的名称、规格、数量、生产日期或者生产批号、保质期、进货日期以及供货者名称、地址、联系方式等内容，并保存相关凭证。记录和凭证保存期限不得少于产品保质期满后六个月；没有明确保质期的，保存期限不得少于二年。</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vMerge w:val="continue"/>
            <w:noWrap w:val="0"/>
            <w:vAlign w:val="center"/>
          </w:tcPr>
          <w:p>
            <w:pPr>
              <w:spacing w:line="420" w:lineRule="exact"/>
              <w:ind w:left="-9"/>
              <w:jc w:val="center"/>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*11.5</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具有食品销售记录制度。</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vMerge w:val="restart"/>
            <w:noWrap w:val="0"/>
            <w:vAlign w:val="center"/>
          </w:tcPr>
          <w:p>
            <w:pPr>
              <w:spacing w:line="420" w:lineRule="exact"/>
              <w:ind w:left="-9"/>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从事食品批发业务的经营企业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*11.6</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记录食品的名称、规格、数量、生产日期或者生产批号、保质期、销售日期以及购货者名称、地址、联系方式等内容，并保存相关凭证。记录和凭证保存期限不得少于产品保质期满后六个月；没有明确保质期的，保存期限不得少于二年。</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vMerge w:val="continue"/>
            <w:noWrap w:val="0"/>
            <w:vAlign w:val="center"/>
          </w:tcPr>
          <w:p>
            <w:pPr>
              <w:spacing w:line="420" w:lineRule="exact"/>
              <w:ind w:left="-9"/>
              <w:jc w:val="center"/>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11.7</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销售的无包装直接入口食品，使用无毒、清洁的包装材料、容器、售货工具和设备，配备有效的防虫、防蝇、防鼠设施。</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*11.8</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销售的散装食品，在容器、外包装上标明食品的名称、成分或配料表、生产日期或者生产批号、保质期以及生产经营者名称、地址、联系方式等内容。</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*11.9</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销售的散装食品标注的生产日期与生产者在出厂时标注的生产日期一致。</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11.10</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包装或分装食品的包装材料和容器无毒、无害、无异味，并符合国家相关法律法规及标准的要求。</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*11.11</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包装或分装的食品 , 未更改原有的生产日期，未延长保质期。</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*11.12</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食品与非食品、生食与熟食的盛放容器未混用。</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*11.13</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普通食品未与特殊食品、药品混放销售。</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11.14</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临近保质期的食品分类管理，作特别标示或者集中陈列出售。</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11.15</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在销售场所显著位置设置不向未成年人销售酒的标志。</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酒类经营者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11.16</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未向未成年人销售酒。</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*11.17</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经营场所食品广告或宣传的内容真实合法。未发现含有虚假内容，未发现涉及疾病预防、治疗功能。</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11.18</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未发现利用包括会议、讲座、健康咨询在内的任何方式对食品进行虚假宣传；未发现编造、散布虚假食品安全信息。</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restart"/>
            <w:noWrap w:val="0"/>
            <w:vAlign w:val="center"/>
          </w:tcPr>
          <w:p>
            <w:pPr>
              <w:numPr>
                <w:ilvl w:val="0"/>
                <w:numId w:val="0"/>
              </w:num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12.贮存</w:t>
            </w:r>
          </w:p>
          <w:p>
            <w:pPr>
              <w:numPr>
                <w:ilvl w:val="0"/>
                <w:numId w:val="0"/>
              </w:num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过程控制</w:t>
            </w: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12.1</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经营场所外设置仓库（包括自有和租赁）的，向发证地市场监管部门报告，副本上载明仓库具体地址。外设仓库地址发生变化的，在变化后10个工作日内向原发证的市场监管部门报告。</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12.2</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贮存食品的容器、工具和设备安全、无害，保持清洁，防止食品污染，并符合保证食品安全所需的温度、湿度等特殊要求。</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*12.3</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在散装食品贮存位置标明食品的名称、生产日期或者生产批号、保质期、生产者名称及联系方式等内容。</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*12.4</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按照保证食品安全的要求贮存食品，定期检查库存食品，及时清理变质或者超过保质期的食品。</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*12.5</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食品与非食品、生食与熟食的贮存容器未混用。</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*12.6</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未发现食品与有毒、有害物品一同贮存。</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*12.7</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委托贮存食品的，选择具有合法资质的贮存服务提供者，审核其食品安全保障能力，监督其按照保证食品安全的要求贮存食品。委托非食品生产经营者贮存有温度、湿度等特殊要求食品的，审查其备案情况。</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*12.8</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接受委托贮存食品的，</w:t>
            </w:r>
            <w:r>
              <w:rPr>
                <w:rFonts w:hint="eastAsia" w:ascii="宋体" w:hAnsi="宋体" w:eastAsia="宋体" w:cs="宋体"/>
                <w:color w:val="000000"/>
                <w:kern w:val="2"/>
                <w:sz w:val="24"/>
                <w:szCs w:val="24"/>
                <w:lang w:val="en-US" w:eastAsia="zh-CN" w:bidi="ar-SA"/>
              </w:rPr>
              <w:t>留存委托方的食品生产经营许可证复印件（或仅销售预包装食品备案信息采集表）。如实记录委托方的名称、统一社会信用代码、地址、联系方式以及委托贮存的冷藏冷冻食品名称、数量、时间等内容。记录和相关凭证的保存期限不得少于贮存结束后2年。</w:t>
            </w:r>
          </w:p>
        </w:tc>
        <w:tc>
          <w:tcPr>
            <w:tcW w:w="1362" w:type="dxa"/>
            <w:noWrap w:val="0"/>
            <w:vAlign w:val="center"/>
          </w:tcPr>
          <w:p>
            <w:pPr>
              <w:widowControl/>
              <w:adjustRightInd w:val="0"/>
              <w:snapToGrid w:val="0"/>
              <w:spacing w:line="420" w:lineRule="exact"/>
              <w:jc w:val="center"/>
              <w:rPr>
                <w:rFonts w:hint="eastAsia" w:ascii="宋体" w:hAnsi="宋体" w:eastAsia="宋体" w:cs="宋体"/>
                <w:b/>
                <w:bCs/>
                <w:color w:val="000000"/>
                <w:kern w:val="0"/>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1094" w:type="dxa"/>
            <w:vMerge w:val="restart"/>
            <w:noWrap w:val="0"/>
            <w:vAlign w:val="center"/>
          </w:tcPr>
          <w:p>
            <w:pPr>
              <w:numPr>
                <w:ilvl w:val="0"/>
                <w:numId w:val="0"/>
              </w:num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13.运输</w:t>
            </w:r>
          </w:p>
          <w:p>
            <w:pPr>
              <w:numPr>
                <w:ilvl w:val="0"/>
                <w:numId w:val="0"/>
              </w:num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过程控制</w:t>
            </w: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13.1</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运输和装卸食品的容器、工具和设备安全、无害、保持清洁，防止食品污染。</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*13.2</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未发现食品与有毒、有害物品一同运输。</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*13.3</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委托运输食品的，选择具有合法资质的运输服务提供者，查验其食品安全保障能力，监督其按照保证食品安全的要求运输食品。</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restart"/>
            <w:noWrap w:val="0"/>
            <w:vAlign w:val="center"/>
          </w:tcPr>
          <w:p>
            <w:pPr>
              <w:numPr>
                <w:ilvl w:val="0"/>
                <w:numId w:val="0"/>
              </w:num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14.食品</w:t>
            </w:r>
          </w:p>
          <w:p>
            <w:pPr>
              <w:numPr>
                <w:ilvl w:val="0"/>
                <w:numId w:val="0"/>
              </w:num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召回</w:t>
            </w: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14.1</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销售者发现销售的食品不符合食品安全标准或者有证据证明可能危害人体健康后，立即停止经营，通知相关食品生产经营者和消费者，并记录停止经营和通知情况。食品生产者认为需要召回的，配合生产者立即召回。由于食品销售者的原因造成其经营的食品有上述情形的，由食品销售者召回。</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14.2</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对召回的食品采取无害化处理、销毁等措施，防止其再次流入市场。</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14.3</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对因标签、标志或者说明书不符合食品安全标准而被召回的食品，食品生产者在采取补救措施且能保证食品安全的情况下可以继续销售；销售时向消费者明示补救措施。</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14.4</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食品召回和处理情况向所在地县级市场监管部门报告；需要对召回的食品进行无害化处理、销毁的，提前报告时间、地点。</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restart"/>
            <w:noWrap w:val="0"/>
            <w:vAlign w:val="center"/>
          </w:tcPr>
          <w:p>
            <w:pPr>
              <w:numPr>
                <w:ilvl w:val="0"/>
                <w:numId w:val="0"/>
              </w:num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15.委托</w:t>
            </w:r>
          </w:p>
          <w:p>
            <w:pPr>
              <w:numPr>
                <w:ilvl w:val="0"/>
                <w:numId w:val="0"/>
              </w:num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生产</w:t>
            </w: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15.1</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委托取得食品生产许可、食品添加剂生产许可的生产者生产，审查其生产资质，留存相关证明文件。</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15.2</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对委托生产者生产行为进行监督，对委托生产的食品、食品添加剂的安全负责。</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094" w:type="dxa"/>
            <w:vMerge w:val="restart"/>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16.食品安全事故处置</w:t>
            </w: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16.1</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具有食品安全事故处置方案。</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vMerge w:val="restart"/>
            <w:noWrap w:val="0"/>
            <w:vAlign w:val="center"/>
          </w:tcPr>
          <w:p>
            <w:pPr>
              <w:spacing w:line="420" w:lineRule="exact"/>
              <w:ind w:left="-9"/>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食品销售</w:t>
            </w:r>
          </w:p>
          <w:p>
            <w:pPr>
              <w:spacing w:line="420" w:lineRule="exact"/>
              <w:ind w:left="-9"/>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16.2</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定期检查本企业各项食品安全防范措施的落实情况，及时消除事故隐患。</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vMerge w:val="continue"/>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094" w:type="dxa"/>
            <w:vMerge w:val="restart"/>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17.其他</w:t>
            </w: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*17.1</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检查结果对消费者有重要影响的，在经营场所醒目位置张贴或者公开展示监督检查结果记录表，并保持至下次监督检查。</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17.2</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监督检查结果、市场监管部门约谈经营者情况和经营者整改情况记入食品经营者食品安全信用档案。对存在严重违法失信行为的，按照规定实施联合惩戒。</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094" w:type="dxa"/>
            <w:vMerge w:val="continue"/>
            <w:noWrap w:val="0"/>
            <w:vAlign w:val="center"/>
          </w:tcPr>
          <w:p>
            <w:pPr>
              <w:spacing w:before="0" w:line="36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17.3</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检查结果信息形成后20个工作日内向社会公开。</w:t>
            </w:r>
          </w:p>
        </w:tc>
        <w:tc>
          <w:tcPr>
            <w:tcW w:w="1362" w:type="dxa"/>
            <w:noWrap w:val="0"/>
            <w:vAlign w:val="center"/>
          </w:tcPr>
          <w:p>
            <w:pPr>
              <w:widowControl/>
              <w:adjustRightInd w:val="0"/>
              <w:snapToGrid w:val="0"/>
              <w:spacing w:line="420" w:lineRule="exact"/>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955" w:type="dxa"/>
            <w:noWrap w:val="0"/>
            <w:vAlign w:val="center"/>
          </w:tcPr>
          <w:p>
            <w:pPr>
              <w:spacing w:line="420" w:lineRule="exact"/>
              <w:ind w:left="-9"/>
              <w:jc w:val="both"/>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4014" w:type="dxa"/>
            <w:gridSpan w:val="5"/>
            <w:noWrap w:val="0"/>
            <w:vAlign w:val="center"/>
          </w:tcPr>
          <w:p>
            <w:pPr>
              <w:ind w:left="-11"/>
              <w:jc w:val="center"/>
              <w:rPr>
                <w:rFonts w:hint="eastAsia" w:ascii="宋体" w:hAnsi="宋体" w:eastAsia="宋体" w:cs="宋体"/>
                <w:kern w:val="2"/>
                <w:sz w:val="24"/>
                <w:szCs w:val="24"/>
                <w:lang w:eastAsia="zh-CN" w:bidi="ar-SA"/>
              </w:rPr>
            </w:pPr>
            <w:r>
              <w:rPr>
                <w:rFonts w:hint="eastAsia" w:ascii="黑体" w:hAnsi="黑体" w:eastAsia="黑体" w:cs="黑体"/>
                <w:b w:val="0"/>
                <w:bCs w:val="0"/>
                <w:kern w:val="2"/>
                <w:sz w:val="24"/>
                <w:szCs w:val="24"/>
                <w:lang w:eastAsia="zh-CN" w:bidi="ar-SA"/>
              </w:rPr>
              <w:t>食品其他检查项目（</w:t>
            </w:r>
            <w:r>
              <w:rPr>
                <w:rFonts w:hint="eastAsia" w:ascii="黑体" w:hAnsi="黑体" w:eastAsia="黑体" w:cs="黑体"/>
                <w:b w:val="0"/>
                <w:bCs w:val="0"/>
                <w:kern w:val="2"/>
                <w:sz w:val="24"/>
                <w:szCs w:val="24"/>
                <w:lang w:val="en-US" w:eastAsia="zh-CN" w:bidi="ar-SA"/>
              </w:rPr>
              <w:t>17</w:t>
            </w:r>
            <w:r>
              <w:rPr>
                <w:rFonts w:hint="eastAsia" w:ascii="黑体" w:hAnsi="黑体" w:eastAsia="黑体" w:cs="黑体"/>
                <w:b w:val="0"/>
                <w:bCs w:val="0"/>
                <w:kern w:val="2"/>
                <w:sz w:val="24"/>
                <w:szCs w:val="24"/>
                <w:lang w:eastAsia="zh-CN" w:bidi="ar-SA"/>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094" w:type="dxa"/>
            <w:noWrap w:val="0"/>
            <w:vAlign w:val="center"/>
          </w:tcPr>
          <w:p>
            <w:pPr>
              <w:widowControl/>
              <w:adjustRightInd w:val="0"/>
              <w:snapToGrid w:val="0"/>
              <w:spacing w:line="270" w:lineRule="exact"/>
              <w:jc w:val="center"/>
              <w:rPr>
                <w:rFonts w:hint="eastAsia" w:ascii="黑体" w:hAnsi="黑体" w:eastAsia="黑体" w:cs="黑体"/>
                <w:b w:val="0"/>
                <w:bCs w:val="0"/>
                <w:color w:val="000000"/>
                <w:kern w:val="0"/>
                <w:sz w:val="24"/>
                <w:szCs w:val="24"/>
                <w:lang w:eastAsia="zh-CN" w:bidi="ar-SA"/>
              </w:rPr>
            </w:pPr>
            <w:r>
              <w:rPr>
                <w:rFonts w:hint="eastAsia" w:ascii="黑体" w:hAnsi="黑体" w:eastAsia="黑体" w:cs="黑体"/>
                <w:b w:val="0"/>
                <w:bCs w:val="0"/>
                <w:color w:val="000000"/>
                <w:kern w:val="0"/>
                <w:sz w:val="24"/>
                <w:szCs w:val="24"/>
                <w:lang w:eastAsia="zh-CN" w:bidi="ar-SA"/>
              </w:rPr>
              <w:t>检查</w:t>
            </w:r>
          </w:p>
          <w:p>
            <w:pPr>
              <w:widowControl/>
              <w:adjustRightInd w:val="0"/>
              <w:snapToGrid w:val="0"/>
              <w:spacing w:line="270" w:lineRule="exact"/>
              <w:jc w:val="center"/>
              <w:rPr>
                <w:rFonts w:hint="eastAsia" w:ascii="黑体" w:hAnsi="黑体" w:eastAsia="黑体" w:cs="黑体"/>
                <w:b w:val="0"/>
                <w:bCs w:val="0"/>
                <w:color w:val="000000"/>
                <w:kern w:val="0"/>
                <w:sz w:val="24"/>
                <w:szCs w:val="24"/>
                <w:lang w:eastAsia="zh-CN" w:bidi="ar-SA"/>
              </w:rPr>
            </w:pPr>
            <w:r>
              <w:rPr>
                <w:rFonts w:hint="eastAsia" w:ascii="黑体" w:hAnsi="黑体" w:eastAsia="黑体" w:cs="黑体"/>
                <w:b w:val="0"/>
                <w:bCs w:val="0"/>
                <w:color w:val="000000"/>
                <w:kern w:val="0"/>
                <w:sz w:val="24"/>
                <w:szCs w:val="24"/>
                <w:lang w:eastAsia="zh-CN" w:bidi="ar-SA"/>
              </w:rPr>
              <w:t>项目</w:t>
            </w:r>
          </w:p>
        </w:tc>
        <w:tc>
          <w:tcPr>
            <w:tcW w:w="934" w:type="dxa"/>
            <w:noWrap w:val="0"/>
            <w:vAlign w:val="center"/>
          </w:tcPr>
          <w:p>
            <w:pPr>
              <w:widowControl/>
              <w:adjustRightInd w:val="0"/>
              <w:snapToGrid w:val="0"/>
              <w:spacing w:line="270" w:lineRule="exact"/>
              <w:jc w:val="center"/>
              <w:rPr>
                <w:rFonts w:hint="eastAsia" w:ascii="黑体" w:hAnsi="黑体" w:eastAsia="黑体" w:cs="黑体"/>
                <w:b w:val="0"/>
                <w:bCs w:val="0"/>
                <w:color w:val="000000"/>
                <w:kern w:val="0"/>
                <w:sz w:val="24"/>
                <w:szCs w:val="24"/>
                <w:lang w:eastAsia="zh-CN" w:bidi="ar-SA"/>
              </w:rPr>
            </w:pPr>
            <w:r>
              <w:rPr>
                <w:rFonts w:hint="eastAsia" w:ascii="黑体" w:hAnsi="黑体" w:eastAsia="黑体" w:cs="黑体"/>
                <w:b w:val="0"/>
                <w:bCs w:val="0"/>
                <w:color w:val="000000"/>
                <w:kern w:val="0"/>
                <w:sz w:val="24"/>
                <w:szCs w:val="24"/>
                <w:lang w:eastAsia="zh-CN" w:bidi="ar-SA"/>
              </w:rPr>
              <w:t>序号</w:t>
            </w:r>
          </w:p>
        </w:tc>
        <w:tc>
          <w:tcPr>
            <w:tcW w:w="9669" w:type="dxa"/>
            <w:noWrap w:val="0"/>
            <w:vAlign w:val="center"/>
          </w:tcPr>
          <w:p>
            <w:pPr>
              <w:widowControl/>
              <w:adjustRightInd w:val="0"/>
              <w:snapToGrid w:val="0"/>
              <w:spacing w:line="270" w:lineRule="exact"/>
              <w:jc w:val="center"/>
              <w:rPr>
                <w:rFonts w:hint="eastAsia" w:ascii="黑体" w:hAnsi="黑体" w:eastAsia="黑体" w:cs="黑体"/>
                <w:b w:val="0"/>
                <w:bCs w:val="0"/>
                <w:color w:val="000000"/>
                <w:kern w:val="0"/>
                <w:sz w:val="24"/>
                <w:szCs w:val="24"/>
                <w:lang w:eastAsia="zh-CN" w:bidi="ar-SA"/>
              </w:rPr>
            </w:pPr>
            <w:r>
              <w:rPr>
                <w:rFonts w:hint="eastAsia" w:ascii="黑体" w:hAnsi="黑体" w:eastAsia="黑体" w:cs="黑体"/>
                <w:b w:val="0"/>
                <w:bCs w:val="0"/>
                <w:color w:val="000000"/>
                <w:kern w:val="0"/>
                <w:sz w:val="24"/>
                <w:szCs w:val="24"/>
                <w:lang w:eastAsia="zh-CN" w:bidi="ar-SA"/>
              </w:rPr>
              <w:t>检  查  内  容</w:t>
            </w:r>
          </w:p>
        </w:tc>
        <w:tc>
          <w:tcPr>
            <w:tcW w:w="1362" w:type="dxa"/>
            <w:noWrap w:val="0"/>
            <w:vAlign w:val="center"/>
          </w:tcPr>
          <w:p>
            <w:pPr>
              <w:widowControl/>
              <w:adjustRightInd w:val="0"/>
              <w:snapToGrid w:val="0"/>
              <w:spacing w:line="270" w:lineRule="exact"/>
              <w:jc w:val="center"/>
              <w:rPr>
                <w:rFonts w:hint="eastAsia" w:ascii="黑体" w:hAnsi="黑体" w:eastAsia="黑体" w:cs="黑体"/>
                <w:b w:val="0"/>
                <w:bCs w:val="0"/>
                <w:color w:val="000000"/>
                <w:kern w:val="0"/>
                <w:sz w:val="24"/>
                <w:szCs w:val="24"/>
                <w:lang w:eastAsia="zh-CN" w:bidi="ar-SA"/>
              </w:rPr>
            </w:pPr>
            <w:r>
              <w:rPr>
                <w:rFonts w:hint="eastAsia" w:ascii="黑体" w:hAnsi="黑体" w:eastAsia="黑体" w:cs="黑体"/>
                <w:b w:val="0"/>
                <w:bCs w:val="0"/>
                <w:color w:val="000000"/>
                <w:kern w:val="0"/>
                <w:sz w:val="24"/>
                <w:szCs w:val="24"/>
                <w:lang w:eastAsia="zh-CN" w:bidi="ar-SA"/>
              </w:rPr>
              <w:t>评价</w:t>
            </w:r>
          </w:p>
        </w:tc>
        <w:tc>
          <w:tcPr>
            <w:tcW w:w="955" w:type="dxa"/>
            <w:noWrap w:val="0"/>
            <w:vAlign w:val="center"/>
          </w:tcPr>
          <w:p>
            <w:pPr>
              <w:widowControl/>
              <w:adjustRightInd w:val="0"/>
              <w:snapToGrid w:val="0"/>
              <w:spacing w:line="270" w:lineRule="exact"/>
              <w:jc w:val="center"/>
              <w:rPr>
                <w:rFonts w:hint="eastAsia" w:ascii="黑体" w:hAnsi="黑体" w:eastAsia="黑体" w:cs="黑体"/>
                <w:b w:val="0"/>
                <w:bCs w:val="0"/>
                <w:color w:val="000000"/>
                <w:kern w:val="0"/>
                <w:sz w:val="24"/>
                <w:szCs w:val="24"/>
                <w:lang w:eastAsia="zh-CN" w:bidi="ar-SA"/>
              </w:rPr>
            </w:pPr>
            <w:r>
              <w:rPr>
                <w:rFonts w:hint="eastAsia" w:ascii="黑体" w:hAnsi="黑体" w:eastAsia="黑体" w:cs="黑体"/>
                <w:b w:val="0"/>
                <w:bCs w:val="0"/>
                <w:color w:val="000000"/>
                <w:kern w:val="0"/>
                <w:sz w:val="24"/>
                <w:szCs w:val="24"/>
                <w:lang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094" w:type="dxa"/>
            <w:vMerge w:val="restart"/>
            <w:noWrap w:val="0"/>
            <w:vAlign w:val="center"/>
          </w:tcPr>
          <w:p>
            <w:pPr>
              <w:widowControl/>
              <w:numPr>
                <w:ilvl w:val="0"/>
                <w:numId w:val="0"/>
              </w:numPr>
              <w:adjustRightInd w:val="0"/>
              <w:snapToGrid w:val="0"/>
              <w:spacing w:line="27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18.食用</w:t>
            </w:r>
          </w:p>
          <w:p>
            <w:pPr>
              <w:widowControl/>
              <w:numPr>
                <w:ilvl w:val="0"/>
                <w:numId w:val="0"/>
              </w:numPr>
              <w:adjustRightInd w:val="0"/>
              <w:snapToGrid w:val="0"/>
              <w:spacing w:line="27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农产品</w:t>
            </w: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18.1</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具有食用农产品进货查验记录制度。</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widowControl/>
              <w:numPr>
                <w:ilvl w:val="0"/>
                <w:numId w:val="0"/>
              </w:numPr>
              <w:adjustRightInd w:val="0"/>
              <w:snapToGrid w:val="0"/>
              <w:spacing w:line="27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18.2</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如实记录所采购的食用农产品的名称、数量、进货日期以及供货者名称、地址、联系方式等内容，并保存相关凭证。记录和凭证保存期限不得少于六个月。</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094" w:type="dxa"/>
            <w:vMerge w:val="continue"/>
            <w:noWrap w:val="0"/>
            <w:vAlign w:val="center"/>
          </w:tcPr>
          <w:p>
            <w:pPr>
              <w:widowControl/>
              <w:numPr>
                <w:ilvl w:val="0"/>
                <w:numId w:val="0"/>
              </w:numPr>
              <w:adjustRightInd w:val="0"/>
              <w:snapToGrid w:val="0"/>
              <w:spacing w:line="270" w:lineRule="exact"/>
              <w:jc w:val="center"/>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*18.3</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经营的肉类按规定具有检疫合格证明和</w:t>
            </w:r>
            <w:r>
              <w:rPr>
                <w:rFonts w:hint="eastAsia" w:ascii="宋体" w:hAnsi="宋体" w:eastAsia="宋体" w:cs="宋体"/>
                <w:i w:val="0"/>
                <w:iCs w:val="0"/>
                <w:color w:val="000000"/>
                <w:kern w:val="2"/>
                <w:sz w:val="24"/>
                <w:szCs w:val="24"/>
                <w:u w:val="none"/>
                <w:lang w:val="en-US" w:eastAsia="zh-CN" w:bidi="ar"/>
              </w:rPr>
              <w:t>肉品品质检验合格证明</w:t>
            </w:r>
            <w:r>
              <w:rPr>
                <w:rFonts w:hint="eastAsia" w:ascii="宋体" w:hAnsi="宋体" w:eastAsia="宋体" w:cs="宋体"/>
                <w:kern w:val="2"/>
                <w:sz w:val="24"/>
                <w:szCs w:val="24"/>
                <w:lang w:val="en-US" w:eastAsia="zh-CN" w:bidi="ar-SA"/>
              </w:rPr>
              <w:t>。</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1094" w:type="dxa"/>
            <w:vMerge w:val="restart"/>
            <w:noWrap w:val="0"/>
            <w:vAlign w:val="center"/>
          </w:tcPr>
          <w:p>
            <w:pPr>
              <w:widowControl/>
              <w:numPr>
                <w:ilvl w:val="0"/>
                <w:numId w:val="0"/>
              </w:numPr>
              <w:adjustRightInd w:val="0"/>
              <w:snapToGrid w:val="0"/>
              <w:spacing w:line="270" w:lineRule="exact"/>
              <w:jc w:val="center"/>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19.特殊</w:t>
            </w:r>
          </w:p>
          <w:p>
            <w:pPr>
              <w:widowControl/>
              <w:numPr>
                <w:ilvl w:val="0"/>
                <w:numId w:val="0"/>
              </w:numPr>
              <w:adjustRightInd w:val="0"/>
              <w:snapToGrid w:val="0"/>
              <w:spacing w:line="270" w:lineRule="exact"/>
              <w:jc w:val="center"/>
              <w:rPr>
                <w:rFonts w:hint="eastAsia" w:ascii="宋体" w:hAnsi="宋体" w:eastAsia="宋体" w:cs="宋体"/>
                <w:kern w:val="2"/>
                <w:sz w:val="24"/>
                <w:szCs w:val="24"/>
                <w:highlight w:val="yellow"/>
                <w:lang w:val="en-US" w:eastAsia="zh-CN" w:bidi="ar-SA"/>
              </w:rPr>
            </w:pPr>
            <w:r>
              <w:rPr>
                <w:rFonts w:hint="eastAsia" w:ascii="宋体" w:hAnsi="宋体" w:eastAsia="宋体" w:cs="宋体"/>
                <w:kern w:val="2"/>
                <w:sz w:val="24"/>
                <w:szCs w:val="24"/>
                <w:highlight w:val="none"/>
                <w:lang w:val="en-US" w:eastAsia="zh-CN" w:bidi="ar-SA"/>
              </w:rPr>
              <w:t>食品</w:t>
            </w:r>
          </w:p>
        </w:tc>
        <w:tc>
          <w:tcPr>
            <w:tcW w:w="934" w:type="dxa"/>
            <w:noWrap w:val="0"/>
            <w:vAlign w:val="center"/>
          </w:tcPr>
          <w:p>
            <w:pPr>
              <w:spacing w:before="0" w:line="360" w:lineRule="exact"/>
              <w:jc w:val="center"/>
              <w:rPr>
                <w:rFonts w:hint="eastAsia" w:ascii="宋体" w:hAnsi="宋体" w:eastAsia="宋体" w:cs="宋体"/>
                <w:kern w:val="2"/>
                <w:sz w:val="24"/>
                <w:szCs w:val="24"/>
                <w:highlight w:val="yellow"/>
                <w:lang w:val="en-US" w:eastAsia="zh-CN" w:bidi="ar-SA"/>
              </w:rPr>
            </w:pPr>
            <w:r>
              <w:rPr>
                <w:rFonts w:hint="eastAsia" w:ascii="宋体" w:hAnsi="宋体" w:eastAsia="宋体" w:cs="宋体"/>
                <w:kern w:val="2"/>
                <w:sz w:val="24"/>
                <w:szCs w:val="24"/>
                <w:lang w:val="en-US" w:eastAsia="zh-CN" w:bidi="ar-SA"/>
              </w:rPr>
              <w:t>*19.1</w:t>
            </w:r>
          </w:p>
        </w:tc>
        <w:tc>
          <w:tcPr>
            <w:tcW w:w="9669" w:type="dxa"/>
            <w:noWrap w:val="0"/>
            <w:vAlign w:val="center"/>
          </w:tcPr>
          <w:p>
            <w:pPr>
              <w:keepNext w:val="0"/>
              <w:keepLines w:val="0"/>
              <w:widowControl/>
              <w:suppressLineNumbers w:val="0"/>
              <w:spacing w:line="360" w:lineRule="exact"/>
              <w:jc w:val="both"/>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i w:val="0"/>
                <w:iCs w:val="0"/>
                <w:color w:val="000000"/>
                <w:kern w:val="2"/>
                <w:sz w:val="24"/>
                <w:szCs w:val="24"/>
                <w:u w:val="none"/>
                <w:lang w:val="en-US" w:eastAsia="zh-CN" w:bidi="ar"/>
              </w:rPr>
              <w:t>销售特殊食品查验并保存供货者的许可资质、产品注册证书或者备案凭证、出厂检验合格证或者产品检验报告、进口产品检验检疫证明或入境货物检验检疫证明等材料。进货和销售记录能满足查验和追溯要求。注册或者备案凭证应与实际商品相符，且在有效期内。</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widowControl/>
              <w:numPr>
                <w:ilvl w:val="0"/>
                <w:numId w:val="0"/>
              </w:numPr>
              <w:adjustRightInd w:val="0"/>
              <w:snapToGrid w:val="0"/>
              <w:spacing w:line="270" w:lineRule="exact"/>
              <w:jc w:val="center"/>
              <w:rPr>
                <w:rFonts w:hint="eastAsia" w:ascii="宋体" w:hAnsi="宋体" w:eastAsia="宋体" w:cs="宋体"/>
                <w:kern w:val="2"/>
                <w:sz w:val="24"/>
                <w:szCs w:val="24"/>
                <w:highlight w:val="yellow"/>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highlight w:val="yellow"/>
                <w:lang w:val="en-US" w:eastAsia="zh-CN" w:bidi="ar-SA"/>
              </w:rPr>
            </w:pPr>
            <w:r>
              <w:rPr>
                <w:rFonts w:hint="eastAsia" w:ascii="宋体" w:hAnsi="宋体" w:eastAsia="宋体" w:cs="宋体"/>
                <w:kern w:val="2"/>
                <w:sz w:val="24"/>
                <w:szCs w:val="24"/>
                <w:lang w:val="en-US" w:eastAsia="zh-CN" w:bidi="ar-SA"/>
              </w:rPr>
              <w:t>*19.2</w:t>
            </w:r>
          </w:p>
        </w:tc>
        <w:tc>
          <w:tcPr>
            <w:tcW w:w="9669" w:type="dxa"/>
            <w:noWrap w:val="0"/>
            <w:vAlign w:val="center"/>
          </w:tcPr>
          <w:p>
            <w:pPr>
              <w:keepNext w:val="0"/>
              <w:keepLines w:val="0"/>
              <w:widowControl/>
              <w:suppressLineNumbers w:val="0"/>
              <w:spacing w:line="360" w:lineRule="exact"/>
              <w:jc w:val="both"/>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i w:val="0"/>
                <w:iCs w:val="0"/>
                <w:color w:val="000000"/>
                <w:kern w:val="2"/>
                <w:sz w:val="24"/>
                <w:szCs w:val="24"/>
                <w:u w:val="none"/>
                <w:lang w:val="en-US" w:eastAsia="zh-CN" w:bidi="ar"/>
              </w:rPr>
              <w:t>特殊食品的标签、说明书应当与注册或备案的内容相一致。保健食品的标签、说明书载明适宜人群、不适宜人群、功效成分或者标志性成分及其含量，不得涉及疾病预防、治疗功能等，并声明“本品不能替代药物”。</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094" w:type="dxa"/>
            <w:vMerge w:val="continue"/>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highlight w:val="yellow"/>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highlight w:val="yellow"/>
                <w:lang w:val="en-US" w:eastAsia="zh-CN" w:bidi="ar-SA"/>
              </w:rPr>
            </w:pPr>
            <w:r>
              <w:rPr>
                <w:rFonts w:hint="eastAsia" w:ascii="宋体" w:hAnsi="宋体" w:eastAsia="宋体" w:cs="宋体"/>
                <w:kern w:val="2"/>
                <w:sz w:val="24"/>
                <w:szCs w:val="24"/>
                <w:lang w:val="en-US" w:eastAsia="zh-CN" w:bidi="ar-SA"/>
              </w:rPr>
              <w:t>*19.3</w:t>
            </w:r>
          </w:p>
        </w:tc>
        <w:tc>
          <w:tcPr>
            <w:tcW w:w="9669" w:type="dxa"/>
            <w:noWrap w:val="0"/>
            <w:vAlign w:val="center"/>
          </w:tcPr>
          <w:p>
            <w:pPr>
              <w:keepNext w:val="0"/>
              <w:keepLines w:val="0"/>
              <w:widowControl/>
              <w:suppressLineNumbers w:val="0"/>
              <w:spacing w:line="360" w:lineRule="exact"/>
              <w:jc w:val="both"/>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i w:val="0"/>
                <w:iCs w:val="0"/>
                <w:color w:val="000000"/>
                <w:kern w:val="2"/>
                <w:sz w:val="24"/>
                <w:szCs w:val="24"/>
                <w:u w:val="none"/>
                <w:lang w:val="en-US" w:eastAsia="zh-CN" w:bidi="ar"/>
              </w:rPr>
              <w:t>进口特殊食品应该有中文标签且必须印制在最小销售包装上，不得加贴。</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highlight w:val="yellow"/>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highlight w:val="yellow"/>
                <w:lang w:val="en-US" w:eastAsia="zh-CN" w:bidi="ar-SA"/>
              </w:rPr>
            </w:pPr>
            <w:r>
              <w:rPr>
                <w:rFonts w:hint="eastAsia" w:ascii="宋体" w:hAnsi="宋体" w:eastAsia="宋体" w:cs="宋体"/>
                <w:kern w:val="2"/>
                <w:sz w:val="24"/>
                <w:szCs w:val="24"/>
                <w:lang w:val="en-US" w:eastAsia="zh-CN" w:bidi="ar-SA"/>
              </w:rPr>
              <w:t>*19.4</w:t>
            </w:r>
          </w:p>
        </w:tc>
        <w:tc>
          <w:tcPr>
            <w:tcW w:w="9669" w:type="dxa"/>
            <w:noWrap w:val="0"/>
            <w:vAlign w:val="center"/>
          </w:tcPr>
          <w:p>
            <w:pPr>
              <w:keepNext w:val="0"/>
              <w:keepLines w:val="0"/>
              <w:widowControl/>
              <w:suppressLineNumbers w:val="0"/>
              <w:spacing w:line="360" w:lineRule="exact"/>
              <w:jc w:val="both"/>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i w:val="0"/>
                <w:iCs w:val="0"/>
                <w:color w:val="000000"/>
                <w:kern w:val="2"/>
                <w:sz w:val="24"/>
                <w:szCs w:val="24"/>
                <w:u w:val="none"/>
                <w:lang w:val="en-US" w:eastAsia="zh-CN" w:bidi="ar"/>
              </w:rPr>
              <w:t>特殊食品不得与普通食品、药品混放销售。特殊食品设专柜（或专区）销售，并在专柜（或专区）显著位置设立提示牌，分别标明“保健食品销售专柜（或专区）”“特殊医学用途配方食品销售专柜（或专区）”“婴幼儿配方乳粉销售专柜（或专区）”字样，提示牌为绿底白字（黑体）。</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1094" w:type="dxa"/>
            <w:vMerge w:val="continue"/>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highlight w:val="yellow"/>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highlight w:val="yellow"/>
                <w:lang w:val="en-US" w:eastAsia="zh-CN" w:bidi="ar-SA"/>
              </w:rPr>
            </w:pPr>
            <w:r>
              <w:rPr>
                <w:rFonts w:hint="eastAsia" w:ascii="宋体" w:hAnsi="宋体" w:eastAsia="宋体" w:cs="宋体"/>
                <w:kern w:val="2"/>
                <w:sz w:val="24"/>
                <w:szCs w:val="24"/>
                <w:lang w:val="en-US" w:eastAsia="zh-CN" w:bidi="ar-SA"/>
              </w:rPr>
              <w:t>*19.5</w:t>
            </w:r>
          </w:p>
        </w:tc>
        <w:tc>
          <w:tcPr>
            <w:tcW w:w="9669" w:type="dxa"/>
            <w:noWrap w:val="0"/>
            <w:vAlign w:val="center"/>
          </w:tcPr>
          <w:p>
            <w:pPr>
              <w:keepNext w:val="0"/>
              <w:keepLines w:val="0"/>
              <w:widowControl/>
              <w:suppressLineNumbers w:val="0"/>
              <w:spacing w:line="360" w:lineRule="exact"/>
              <w:jc w:val="both"/>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i w:val="0"/>
                <w:iCs w:val="0"/>
                <w:color w:val="000000"/>
                <w:kern w:val="2"/>
                <w:sz w:val="24"/>
                <w:szCs w:val="24"/>
                <w:u w:val="none"/>
                <w:lang w:val="en-US" w:eastAsia="zh-CN" w:bidi="ar"/>
              </w:rPr>
              <w:t>医疗机构和药品零售企业之外的经营者未销售特定全营养配方食品。</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highlight w:val="yellow"/>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highlight w:val="yellow"/>
                <w:lang w:val="en-US" w:eastAsia="zh-CN" w:bidi="ar-SA"/>
              </w:rPr>
            </w:pPr>
            <w:r>
              <w:rPr>
                <w:rFonts w:hint="eastAsia" w:ascii="宋体" w:hAnsi="宋体" w:eastAsia="宋体" w:cs="宋体"/>
                <w:kern w:val="2"/>
                <w:sz w:val="24"/>
                <w:szCs w:val="24"/>
                <w:lang w:val="en-US" w:eastAsia="zh-CN" w:bidi="ar-SA"/>
              </w:rPr>
              <w:t>19.6</w:t>
            </w:r>
          </w:p>
        </w:tc>
        <w:tc>
          <w:tcPr>
            <w:tcW w:w="9669" w:type="dxa"/>
            <w:noWrap w:val="0"/>
            <w:vAlign w:val="center"/>
          </w:tcPr>
          <w:p>
            <w:pPr>
              <w:keepNext w:val="0"/>
              <w:keepLines w:val="0"/>
              <w:widowControl/>
              <w:suppressLineNumbers w:val="0"/>
              <w:spacing w:line="360" w:lineRule="exact"/>
              <w:jc w:val="both"/>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i w:val="0"/>
                <w:iCs w:val="0"/>
                <w:color w:val="000000"/>
                <w:kern w:val="2"/>
                <w:sz w:val="24"/>
                <w:szCs w:val="24"/>
                <w:u w:val="none"/>
                <w:lang w:val="en-US" w:eastAsia="zh-CN" w:bidi="ar"/>
              </w:rPr>
              <w:t>保健食品标签设置警示用语区，标注“保健食品不是药物，不能替代药物治疗疾病”警示用语。保健食品经营者在经营保健食品的场所、网络平台等显要位置标注“保健食品不是药物，不能代替药物治疗疾病”等消费提示信息。</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094" w:type="dxa"/>
            <w:vMerge w:val="continue"/>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highlight w:val="yellow"/>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highlight w:val="yellow"/>
                <w:lang w:val="en-US" w:eastAsia="zh-CN" w:bidi="ar-SA"/>
              </w:rPr>
            </w:pPr>
            <w:r>
              <w:rPr>
                <w:rFonts w:hint="eastAsia" w:ascii="宋体" w:hAnsi="宋体" w:eastAsia="宋体" w:cs="宋体"/>
                <w:kern w:val="2"/>
                <w:sz w:val="24"/>
                <w:szCs w:val="24"/>
                <w:lang w:val="en-US" w:eastAsia="zh-CN" w:bidi="ar-SA"/>
              </w:rPr>
              <w:t>19.7</w:t>
            </w:r>
          </w:p>
        </w:tc>
        <w:tc>
          <w:tcPr>
            <w:tcW w:w="9669" w:type="dxa"/>
            <w:noWrap w:val="0"/>
            <w:vAlign w:val="center"/>
          </w:tcPr>
          <w:p>
            <w:pPr>
              <w:keepNext w:val="0"/>
              <w:keepLines w:val="0"/>
              <w:widowControl/>
              <w:suppressLineNumbers w:val="0"/>
              <w:spacing w:line="360" w:lineRule="exact"/>
              <w:jc w:val="both"/>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i w:val="0"/>
                <w:iCs w:val="0"/>
                <w:color w:val="000000"/>
                <w:kern w:val="2"/>
                <w:sz w:val="24"/>
                <w:szCs w:val="24"/>
                <w:u w:val="none"/>
                <w:lang w:val="en-US" w:eastAsia="zh-CN" w:bidi="ar"/>
              </w:rPr>
              <w:t>对距离保质期不足一个月的婴幼儿配方乳粉采取醒目提示或者提前下架等措施。</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094" w:type="dxa"/>
            <w:vMerge w:val="continue"/>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highlight w:val="yellow"/>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highlight w:val="yellow"/>
                <w:lang w:val="en-US" w:eastAsia="zh-CN" w:bidi="ar-SA"/>
              </w:rPr>
            </w:pPr>
            <w:r>
              <w:rPr>
                <w:rFonts w:hint="eastAsia" w:ascii="宋体" w:hAnsi="宋体" w:eastAsia="宋体" w:cs="宋体"/>
                <w:kern w:val="2"/>
                <w:sz w:val="24"/>
                <w:szCs w:val="24"/>
                <w:lang w:val="en-US" w:eastAsia="zh-CN" w:bidi="ar-SA"/>
              </w:rPr>
              <w:t>*19.8</w:t>
            </w:r>
          </w:p>
        </w:tc>
        <w:tc>
          <w:tcPr>
            <w:tcW w:w="9669" w:type="dxa"/>
            <w:noWrap w:val="0"/>
            <w:vAlign w:val="center"/>
          </w:tcPr>
          <w:p>
            <w:pPr>
              <w:keepNext w:val="0"/>
              <w:keepLines w:val="0"/>
              <w:widowControl/>
              <w:suppressLineNumbers w:val="0"/>
              <w:spacing w:line="360" w:lineRule="exact"/>
              <w:jc w:val="both"/>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i w:val="0"/>
                <w:iCs w:val="0"/>
                <w:color w:val="000000"/>
                <w:kern w:val="2"/>
                <w:sz w:val="24"/>
                <w:szCs w:val="24"/>
                <w:u w:val="none"/>
                <w:lang w:val="en-US" w:eastAsia="zh-CN" w:bidi="ar"/>
              </w:rPr>
              <w:t>未发现通过健康咨询、宣传资料等任何方式虚假夸大宣传特殊食品。</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highlight w:val="yellow"/>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highlight w:val="yellow"/>
                <w:lang w:val="en-US" w:eastAsia="zh-CN" w:bidi="ar-SA"/>
              </w:rPr>
            </w:pPr>
            <w:r>
              <w:rPr>
                <w:rFonts w:hint="eastAsia" w:ascii="宋体" w:hAnsi="宋体" w:eastAsia="宋体" w:cs="宋体"/>
                <w:kern w:val="2"/>
                <w:sz w:val="24"/>
                <w:szCs w:val="24"/>
                <w:lang w:val="en-US" w:eastAsia="zh-CN" w:bidi="ar-SA"/>
              </w:rPr>
              <w:t>*19.9</w:t>
            </w:r>
          </w:p>
        </w:tc>
        <w:tc>
          <w:tcPr>
            <w:tcW w:w="9669" w:type="dxa"/>
            <w:noWrap w:val="0"/>
            <w:vAlign w:val="center"/>
          </w:tcPr>
          <w:p>
            <w:pPr>
              <w:keepNext w:val="0"/>
              <w:keepLines w:val="0"/>
              <w:widowControl/>
              <w:suppressLineNumbers w:val="0"/>
              <w:spacing w:line="360" w:lineRule="exact"/>
              <w:jc w:val="both"/>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i w:val="0"/>
                <w:iCs w:val="0"/>
                <w:color w:val="000000"/>
                <w:kern w:val="2"/>
                <w:sz w:val="24"/>
                <w:szCs w:val="24"/>
                <w:u w:val="none"/>
                <w:lang w:val="en-US" w:eastAsia="zh-CN" w:bidi="ar"/>
              </w:rPr>
              <w:t>不得宣传声称婴儿配方食品全部或者部分替代母乳。</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094" w:type="dxa"/>
            <w:vMerge w:val="continue"/>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highlight w:val="yellow"/>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highlight w:val="yellow"/>
                <w:lang w:val="en-US" w:eastAsia="zh-CN" w:bidi="ar-SA"/>
              </w:rPr>
            </w:pPr>
            <w:r>
              <w:rPr>
                <w:rFonts w:hint="eastAsia" w:ascii="宋体" w:hAnsi="宋体" w:eastAsia="宋体" w:cs="宋体"/>
                <w:kern w:val="2"/>
                <w:sz w:val="24"/>
                <w:szCs w:val="24"/>
                <w:lang w:val="en-US" w:eastAsia="zh-CN" w:bidi="ar-SA"/>
              </w:rPr>
              <w:t>*19.10</w:t>
            </w:r>
          </w:p>
        </w:tc>
        <w:tc>
          <w:tcPr>
            <w:tcW w:w="9669" w:type="dxa"/>
            <w:noWrap w:val="0"/>
            <w:vAlign w:val="center"/>
          </w:tcPr>
          <w:p>
            <w:pPr>
              <w:keepNext w:val="0"/>
              <w:keepLines w:val="0"/>
              <w:widowControl/>
              <w:suppressLineNumbers w:val="0"/>
              <w:spacing w:line="360" w:lineRule="exact"/>
              <w:jc w:val="both"/>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i w:val="0"/>
                <w:iCs w:val="0"/>
                <w:color w:val="000000"/>
                <w:kern w:val="2"/>
                <w:sz w:val="24"/>
                <w:szCs w:val="24"/>
                <w:u w:val="none"/>
                <w:lang w:val="en-US" w:eastAsia="zh-CN" w:bidi="ar"/>
              </w:rPr>
              <w:t>保健食品、特殊医学用途配方食品的广告应经广告审查部门审查批准，取得广告批准文件，并与批准内容相一致。</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094" w:type="dxa"/>
            <w:vMerge w:val="continue"/>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highlight w:val="yellow"/>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highlight w:val="yellow"/>
                <w:lang w:val="en-US" w:eastAsia="zh-CN" w:bidi="ar-SA"/>
              </w:rPr>
            </w:pPr>
            <w:r>
              <w:rPr>
                <w:rFonts w:hint="eastAsia" w:ascii="宋体" w:hAnsi="宋体" w:eastAsia="宋体" w:cs="宋体"/>
                <w:kern w:val="2"/>
                <w:sz w:val="24"/>
                <w:szCs w:val="24"/>
                <w:lang w:val="en-US" w:eastAsia="zh-CN" w:bidi="ar-SA"/>
              </w:rPr>
              <w:t>19.11</w:t>
            </w:r>
          </w:p>
        </w:tc>
        <w:tc>
          <w:tcPr>
            <w:tcW w:w="9669" w:type="dxa"/>
            <w:noWrap w:val="0"/>
            <w:vAlign w:val="center"/>
          </w:tcPr>
          <w:p>
            <w:pPr>
              <w:keepNext w:val="0"/>
              <w:keepLines w:val="0"/>
              <w:widowControl/>
              <w:suppressLineNumbers w:val="0"/>
              <w:spacing w:line="360" w:lineRule="exact"/>
              <w:jc w:val="both"/>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i w:val="0"/>
                <w:iCs w:val="0"/>
                <w:color w:val="000000"/>
                <w:kern w:val="2"/>
                <w:sz w:val="24"/>
                <w:szCs w:val="24"/>
                <w:u w:val="none"/>
                <w:lang w:val="en-US" w:eastAsia="zh-CN" w:bidi="ar"/>
              </w:rPr>
              <w:t>不得对0-12个月龄婴儿食用的婴儿配方食品进行广告宣传。</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094" w:type="dxa"/>
            <w:vMerge w:val="continue"/>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highlight w:val="yellow"/>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highlight w:val="yellow"/>
                <w:lang w:val="en-US" w:eastAsia="zh-CN" w:bidi="ar-SA"/>
              </w:rPr>
            </w:pPr>
            <w:r>
              <w:rPr>
                <w:rFonts w:hint="eastAsia" w:ascii="宋体" w:hAnsi="宋体" w:eastAsia="宋体" w:cs="宋体"/>
                <w:kern w:val="2"/>
                <w:sz w:val="24"/>
                <w:szCs w:val="24"/>
                <w:lang w:val="en-US" w:eastAsia="zh-CN" w:bidi="ar-SA"/>
              </w:rPr>
              <w:t>*19.12</w:t>
            </w:r>
          </w:p>
        </w:tc>
        <w:tc>
          <w:tcPr>
            <w:tcW w:w="9669" w:type="dxa"/>
            <w:noWrap w:val="0"/>
            <w:vAlign w:val="center"/>
          </w:tcPr>
          <w:p>
            <w:pPr>
              <w:keepNext w:val="0"/>
              <w:keepLines w:val="0"/>
              <w:widowControl/>
              <w:suppressLineNumbers w:val="0"/>
              <w:spacing w:line="360" w:lineRule="exact"/>
              <w:jc w:val="both"/>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i w:val="0"/>
                <w:iCs w:val="0"/>
                <w:color w:val="000000"/>
                <w:kern w:val="2"/>
                <w:sz w:val="24"/>
                <w:szCs w:val="24"/>
                <w:u w:val="none"/>
                <w:lang w:val="en-US" w:eastAsia="zh-CN" w:bidi="ar"/>
              </w:rPr>
              <w:t>网络销售特殊食品的销售主页相关信息应当与产品注册证书或备案凭证、广告审查批准等信息相一致，销售页面刊载内容不得涉及疾病预防、治疗功能等禁止标志内容。</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094" w:type="dxa"/>
            <w:vMerge w:val="continue"/>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highlight w:val="yellow"/>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highlight w:val="yellow"/>
                <w:lang w:val="en-US" w:eastAsia="zh-CN" w:bidi="ar-SA"/>
              </w:rPr>
            </w:pPr>
            <w:r>
              <w:rPr>
                <w:rFonts w:hint="eastAsia" w:ascii="宋体" w:hAnsi="宋体" w:eastAsia="宋体" w:cs="宋体"/>
                <w:kern w:val="2"/>
                <w:sz w:val="24"/>
                <w:szCs w:val="24"/>
                <w:lang w:val="en-US" w:eastAsia="zh-CN" w:bidi="ar-SA"/>
              </w:rPr>
              <w:t>*19.13</w:t>
            </w:r>
          </w:p>
        </w:tc>
        <w:tc>
          <w:tcPr>
            <w:tcW w:w="9669" w:type="dxa"/>
            <w:noWrap w:val="0"/>
            <w:vAlign w:val="center"/>
          </w:tcPr>
          <w:p>
            <w:pPr>
              <w:keepNext w:val="0"/>
              <w:keepLines w:val="0"/>
              <w:widowControl/>
              <w:suppressLineNumbers w:val="0"/>
              <w:spacing w:line="360" w:lineRule="exact"/>
              <w:jc w:val="both"/>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i w:val="0"/>
                <w:iCs w:val="0"/>
                <w:color w:val="000000"/>
                <w:kern w:val="2"/>
                <w:sz w:val="24"/>
                <w:szCs w:val="24"/>
                <w:u w:val="none"/>
                <w:lang w:val="en-US" w:eastAsia="zh-CN" w:bidi="ar"/>
              </w:rPr>
              <w:t>网络销售保健食品的页面在显著位置标明“本品不能代替药物”。网络销售特殊医学用途配方食品，销售页面应显著标示“请在医生或者临床营养师指导下使用；不适用于非目标人群使用；本品禁止用于肠外营养支持和静脉注射”等提示用语。</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094" w:type="dxa"/>
            <w:vMerge w:val="continue"/>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highlight w:val="yellow"/>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highlight w:val="yellow"/>
                <w:lang w:val="en-US" w:eastAsia="zh-CN" w:bidi="ar-SA"/>
              </w:rPr>
            </w:pPr>
            <w:r>
              <w:rPr>
                <w:rFonts w:hint="eastAsia" w:ascii="宋体" w:hAnsi="宋体" w:eastAsia="宋体" w:cs="宋体"/>
                <w:kern w:val="2"/>
                <w:sz w:val="24"/>
                <w:szCs w:val="24"/>
                <w:lang w:val="en-US" w:eastAsia="zh-CN" w:bidi="ar-SA"/>
              </w:rPr>
              <w:t>*19.14</w:t>
            </w:r>
          </w:p>
        </w:tc>
        <w:tc>
          <w:tcPr>
            <w:tcW w:w="9669" w:type="dxa"/>
            <w:noWrap w:val="0"/>
            <w:vAlign w:val="center"/>
          </w:tcPr>
          <w:p>
            <w:pPr>
              <w:keepNext w:val="0"/>
              <w:keepLines w:val="0"/>
              <w:widowControl/>
              <w:suppressLineNumbers w:val="0"/>
              <w:spacing w:line="360" w:lineRule="exact"/>
              <w:jc w:val="both"/>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i w:val="0"/>
                <w:iCs w:val="0"/>
                <w:color w:val="000000"/>
                <w:kern w:val="2"/>
                <w:sz w:val="24"/>
                <w:szCs w:val="24"/>
                <w:u w:val="none"/>
                <w:lang w:val="en-US" w:eastAsia="zh-CN" w:bidi="ar"/>
              </w:rPr>
              <w:t>特定全营养配方食品不得进行网络交易。</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widowControl/>
              <w:adjustRightInd w:val="0"/>
              <w:snapToGrid w:val="0"/>
              <w:spacing w:line="270" w:lineRule="exact"/>
              <w:jc w:val="center"/>
              <w:rPr>
                <w:rFonts w:hint="eastAsia" w:ascii="宋体" w:hAnsi="宋体" w:eastAsia="宋体" w:cs="宋体"/>
                <w:b/>
                <w:bCs/>
                <w:color w:val="000000"/>
                <w:kern w:val="0"/>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4014" w:type="dxa"/>
            <w:gridSpan w:val="5"/>
            <w:noWrap w:val="0"/>
            <w:vAlign w:val="center"/>
          </w:tcPr>
          <w:p>
            <w:pPr>
              <w:ind w:left="-11" w:leftChars="0"/>
              <w:jc w:val="center"/>
              <w:rPr>
                <w:rFonts w:hint="eastAsia" w:ascii="宋体" w:hAnsi="宋体" w:eastAsia="宋体" w:cs="宋体"/>
                <w:b/>
                <w:bCs/>
                <w:color w:val="000000"/>
                <w:kern w:val="0"/>
                <w:sz w:val="24"/>
                <w:szCs w:val="24"/>
                <w:lang w:eastAsia="zh-CN" w:bidi="ar-SA"/>
              </w:rPr>
            </w:pPr>
            <w:r>
              <w:rPr>
                <w:rFonts w:hint="eastAsia" w:ascii="黑体" w:hAnsi="黑体" w:eastAsia="黑体" w:cs="黑体"/>
                <w:kern w:val="2"/>
                <w:sz w:val="24"/>
                <w:szCs w:val="24"/>
                <w:lang w:eastAsia="zh-CN" w:bidi="ar-SA"/>
              </w:rPr>
              <w:t>相关主体检查项目（</w:t>
            </w:r>
            <w:r>
              <w:rPr>
                <w:rFonts w:hint="eastAsia" w:ascii="黑体" w:hAnsi="黑体" w:eastAsia="黑体" w:cs="黑体"/>
                <w:kern w:val="2"/>
                <w:sz w:val="24"/>
                <w:szCs w:val="24"/>
                <w:lang w:val="en-US" w:eastAsia="zh-CN" w:bidi="ar-SA"/>
              </w:rPr>
              <w:t>15</w:t>
            </w:r>
            <w:r>
              <w:rPr>
                <w:rFonts w:hint="eastAsia" w:ascii="黑体" w:hAnsi="黑体" w:eastAsia="黑体" w:cs="黑体"/>
                <w:kern w:val="2"/>
                <w:sz w:val="24"/>
                <w:szCs w:val="24"/>
                <w:lang w:eastAsia="zh-CN" w:bidi="ar-SA"/>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1094" w:type="dxa"/>
            <w:noWrap w:val="0"/>
            <w:vAlign w:val="center"/>
          </w:tcPr>
          <w:p>
            <w:pPr>
              <w:widowControl/>
              <w:adjustRightInd w:val="0"/>
              <w:snapToGrid w:val="0"/>
              <w:spacing w:line="270" w:lineRule="exact"/>
              <w:jc w:val="center"/>
              <w:rPr>
                <w:rFonts w:hint="eastAsia" w:ascii="黑体" w:hAnsi="黑体" w:eastAsia="黑体" w:cs="黑体"/>
                <w:b w:val="0"/>
                <w:bCs w:val="0"/>
                <w:color w:val="000000"/>
                <w:kern w:val="0"/>
                <w:sz w:val="24"/>
                <w:szCs w:val="24"/>
                <w:lang w:eastAsia="zh-CN" w:bidi="ar-SA"/>
              </w:rPr>
            </w:pPr>
            <w:r>
              <w:rPr>
                <w:rFonts w:hint="eastAsia" w:ascii="黑体" w:hAnsi="黑体" w:eastAsia="黑体" w:cs="黑体"/>
                <w:b w:val="0"/>
                <w:bCs w:val="0"/>
                <w:color w:val="000000"/>
                <w:kern w:val="0"/>
                <w:sz w:val="24"/>
                <w:szCs w:val="24"/>
                <w:lang w:eastAsia="zh-CN" w:bidi="ar-SA"/>
              </w:rPr>
              <w:t>检查</w:t>
            </w:r>
          </w:p>
          <w:p>
            <w:pPr>
              <w:widowControl/>
              <w:adjustRightInd w:val="0"/>
              <w:snapToGrid w:val="0"/>
              <w:spacing w:line="270" w:lineRule="exact"/>
              <w:jc w:val="center"/>
              <w:rPr>
                <w:rFonts w:hint="eastAsia" w:ascii="黑体" w:hAnsi="黑体" w:eastAsia="黑体" w:cs="黑体"/>
                <w:b w:val="0"/>
                <w:bCs w:val="0"/>
                <w:color w:val="000000"/>
                <w:kern w:val="0"/>
                <w:sz w:val="24"/>
                <w:szCs w:val="24"/>
                <w:lang w:eastAsia="zh-CN" w:bidi="ar-SA"/>
              </w:rPr>
            </w:pPr>
            <w:r>
              <w:rPr>
                <w:rFonts w:hint="eastAsia" w:ascii="黑体" w:hAnsi="黑体" w:eastAsia="黑体" w:cs="黑体"/>
                <w:b w:val="0"/>
                <w:bCs w:val="0"/>
                <w:color w:val="000000"/>
                <w:kern w:val="0"/>
                <w:sz w:val="24"/>
                <w:szCs w:val="24"/>
                <w:lang w:eastAsia="zh-CN" w:bidi="ar-SA"/>
              </w:rPr>
              <w:t>项目</w:t>
            </w:r>
          </w:p>
        </w:tc>
        <w:tc>
          <w:tcPr>
            <w:tcW w:w="934" w:type="dxa"/>
            <w:noWrap w:val="0"/>
            <w:vAlign w:val="center"/>
          </w:tcPr>
          <w:p>
            <w:pPr>
              <w:widowControl/>
              <w:adjustRightInd w:val="0"/>
              <w:snapToGrid w:val="0"/>
              <w:spacing w:line="270" w:lineRule="exact"/>
              <w:jc w:val="center"/>
              <w:rPr>
                <w:rFonts w:hint="eastAsia" w:ascii="黑体" w:hAnsi="黑体" w:eastAsia="黑体" w:cs="黑体"/>
                <w:b w:val="0"/>
                <w:bCs w:val="0"/>
                <w:kern w:val="2"/>
                <w:sz w:val="24"/>
                <w:szCs w:val="24"/>
                <w:lang w:val="en-US" w:eastAsia="zh-CN" w:bidi="ar-SA"/>
              </w:rPr>
            </w:pPr>
            <w:r>
              <w:rPr>
                <w:rFonts w:hint="eastAsia" w:ascii="黑体" w:hAnsi="黑体" w:eastAsia="黑体" w:cs="黑体"/>
                <w:b w:val="0"/>
                <w:bCs w:val="0"/>
                <w:color w:val="000000"/>
                <w:kern w:val="0"/>
                <w:sz w:val="24"/>
                <w:szCs w:val="24"/>
                <w:lang w:eastAsia="zh-CN" w:bidi="ar-SA"/>
              </w:rPr>
              <w:t>序号</w:t>
            </w:r>
          </w:p>
        </w:tc>
        <w:tc>
          <w:tcPr>
            <w:tcW w:w="9669" w:type="dxa"/>
            <w:noWrap w:val="0"/>
            <w:vAlign w:val="center"/>
          </w:tcPr>
          <w:p>
            <w:pPr>
              <w:widowControl/>
              <w:adjustRightInd w:val="0"/>
              <w:snapToGrid w:val="0"/>
              <w:spacing w:line="270" w:lineRule="exact"/>
              <w:jc w:val="center"/>
              <w:rPr>
                <w:rFonts w:hint="eastAsia" w:ascii="黑体" w:hAnsi="黑体" w:eastAsia="黑体" w:cs="黑体"/>
                <w:b w:val="0"/>
                <w:bCs w:val="0"/>
                <w:kern w:val="2"/>
                <w:sz w:val="24"/>
                <w:szCs w:val="24"/>
                <w:lang w:val="en-US" w:eastAsia="zh-CN" w:bidi="ar-SA"/>
              </w:rPr>
            </w:pPr>
            <w:r>
              <w:rPr>
                <w:rFonts w:hint="eastAsia" w:ascii="黑体" w:hAnsi="黑体" w:eastAsia="黑体" w:cs="黑体"/>
                <w:b w:val="0"/>
                <w:bCs w:val="0"/>
                <w:color w:val="000000"/>
                <w:kern w:val="0"/>
                <w:sz w:val="24"/>
                <w:szCs w:val="24"/>
                <w:lang w:eastAsia="zh-CN" w:bidi="ar-SA"/>
              </w:rPr>
              <w:t>检  查  内  容</w:t>
            </w:r>
          </w:p>
        </w:tc>
        <w:tc>
          <w:tcPr>
            <w:tcW w:w="1362" w:type="dxa"/>
            <w:noWrap w:val="0"/>
            <w:vAlign w:val="center"/>
          </w:tcPr>
          <w:p>
            <w:pPr>
              <w:widowControl/>
              <w:adjustRightInd w:val="0"/>
              <w:snapToGrid w:val="0"/>
              <w:spacing w:line="270" w:lineRule="exact"/>
              <w:jc w:val="center"/>
              <w:rPr>
                <w:rFonts w:hint="eastAsia" w:ascii="黑体" w:hAnsi="黑体" w:eastAsia="黑体" w:cs="黑体"/>
                <w:b w:val="0"/>
                <w:bCs w:val="0"/>
                <w:kern w:val="2"/>
                <w:sz w:val="24"/>
                <w:szCs w:val="24"/>
                <w:lang w:val="en-US" w:eastAsia="zh-CN" w:bidi="ar-SA"/>
              </w:rPr>
            </w:pPr>
            <w:r>
              <w:rPr>
                <w:rFonts w:hint="eastAsia" w:ascii="黑体" w:hAnsi="黑体" w:eastAsia="黑体" w:cs="黑体"/>
                <w:b w:val="0"/>
                <w:bCs w:val="0"/>
                <w:color w:val="000000"/>
                <w:kern w:val="0"/>
                <w:sz w:val="24"/>
                <w:szCs w:val="24"/>
                <w:lang w:eastAsia="zh-CN" w:bidi="ar-SA"/>
              </w:rPr>
              <w:t>评价</w:t>
            </w:r>
          </w:p>
        </w:tc>
        <w:tc>
          <w:tcPr>
            <w:tcW w:w="955" w:type="dxa"/>
            <w:noWrap w:val="0"/>
            <w:vAlign w:val="center"/>
          </w:tcPr>
          <w:p>
            <w:pPr>
              <w:widowControl/>
              <w:adjustRightInd w:val="0"/>
              <w:snapToGrid w:val="0"/>
              <w:spacing w:line="270" w:lineRule="exact"/>
              <w:jc w:val="center"/>
              <w:rPr>
                <w:rFonts w:hint="eastAsia" w:ascii="黑体" w:hAnsi="黑体" w:eastAsia="黑体" w:cs="黑体"/>
                <w:b w:val="0"/>
                <w:bCs w:val="0"/>
                <w:color w:val="000000"/>
                <w:kern w:val="0"/>
                <w:sz w:val="24"/>
                <w:szCs w:val="24"/>
                <w:lang w:eastAsia="zh-CN" w:bidi="ar-SA"/>
              </w:rPr>
            </w:pPr>
            <w:r>
              <w:rPr>
                <w:rFonts w:hint="eastAsia" w:ascii="黑体" w:hAnsi="黑体" w:eastAsia="黑体" w:cs="黑体"/>
                <w:b w:val="0"/>
                <w:bCs w:val="0"/>
                <w:color w:val="000000"/>
                <w:kern w:val="0"/>
                <w:sz w:val="24"/>
                <w:szCs w:val="24"/>
                <w:lang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restart"/>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20.集中交易市场开办者、柜台出租者和展销会举办者</w:t>
            </w: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20.1</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食品集中交易市场开办者、食品展销会举办者在市场开业或者展销会举办前向所在地县级市场监管部门书面报告。</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spacing w:before="0" w:line="360" w:lineRule="exact"/>
              <w:jc w:val="both"/>
              <w:rPr>
                <w:rFonts w:hint="eastAsia" w:ascii="宋体" w:hAnsi="宋体" w:eastAsia="宋体" w:cs="宋体"/>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both"/>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20.2</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 xml:space="preserve">食品集中交易市场的开办者、柜台出租者和展销会举办者，审查入场食品经营者的许可证（或仅销售预包装食品备案信息采集表），明确其食品安全管理责任。 </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spacing w:before="0" w:line="360" w:lineRule="exact"/>
              <w:jc w:val="both"/>
              <w:rPr>
                <w:rFonts w:hint="eastAsia" w:ascii="宋体" w:hAnsi="宋体" w:eastAsia="宋体" w:cs="宋体"/>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both"/>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*20.3</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定期对入场食品经营者经营环境和条件进行检查。</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spacing w:before="0" w:line="360" w:lineRule="exact"/>
              <w:jc w:val="both"/>
              <w:rPr>
                <w:rFonts w:hint="eastAsia" w:ascii="宋体" w:hAnsi="宋体" w:eastAsia="宋体" w:cs="宋体"/>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both"/>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20.4</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发现入场食品经营者有违反食品安全法规定的行为，及时制止并立即报告所在地县级市场监管部门。</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spacing w:before="0" w:line="360" w:lineRule="exact"/>
              <w:jc w:val="both"/>
              <w:rPr>
                <w:rFonts w:hint="eastAsia" w:ascii="宋体" w:hAnsi="宋体" w:eastAsia="宋体" w:cs="宋体"/>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both"/>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20.5</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 xml:space="preserve">食用农产品批发市场配备检验设备和检验人员或者委托符合食品安全法规定的食品检验机构，对进入该批发市场销售的食用农产品进行抽样检验。 </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spacing w:before="0" w:line="360" w:lineRule="exact"/>
              <w:jc w:val="both"/>
              <w:rPr>
                <w:rFonts w:hint="eastAsia" w:ascii="宋体" w:hAnsi="宋体" w:eastAsia="宋体" w:cs="宋体"/>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both"/>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20.6</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食用农产品批发市场开办者发现不符合食品安全标准的食用农产品时，要求销售者立即停止销售，并向市场监管部门报告。</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spacing w:before="0" w:line="360" w:lineRule="exact"/>
              <w:jc w:val="both"/>
              <w:rPr>
                <w:rFonts w:hint="eastAsia" w:ascii="宋体" w:hAnsi="宋体" w:eastAsia="宋体" w:cs="宋体"/>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1094" w:type="dxa"/>
            <w:vMerge w:val="restart"/>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21.网络食品交易第三方平台提供者</w:t>
            </w: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21.1</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在通信主管部门批准后30个工作日内向所在地省级市场监管部门备案并取得备案号。</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spacing w:before="0" w:line="360" w:lineRule="exact"/>
              <w:jc w:val="both"/>
              <w:rPr>
                <w:rFonts w:hint="eastAsia" w:ascii="宋体" w:hAnsi="宋体" w:eastAsia="宋体" w:cs="宋体"/>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both"/>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21.2</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具有食品安全相关制度，明确入网食品销售者食品安全管理责任，并在网络平台公开。</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spacing w:before="0" w:line="360" w:lineRule="exact"/>
              <w:jc w:val="both"/>
              <w:rPr>
                <w:rFonts w:hint="eastAsia" w:ascii="宋体" w:hAnsi="宋体" w:eastAsia="宋体" w:cs="宋体"/>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094" w:type="dxa"/>
            <w:vMerge w:val="continue"/>
            <w:noWrap w:val="0"/>
            <w:vAlign w:val="center"/>
          </w:tcPr>
          <w:p>
            <w:pPr>
              <w:spacing w:before="0" w:line="360" w:lineRule="exact"/>
              <w:jc w:val="both"/>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*21.3</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设置专门的网络食品安全管理机构或者指定专职食品安全管理人员。</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spacing w:before="0" w:line="360" w:lineRule="exact"/>
              <w:jc w:val="both"/>
              <w:rPr>
                <w:rFonts w:hint="eastAsia" w:ascii="宋体" w:hAnsi="宋体" w:eastAsia="宋体" w:cs="宋体"/>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1094" w:type="dxa"/>
            <w:vMerge w:val="continue"/>
            <w:noWrap w:val="0"/>
            <w:vAlign w:val="center"/>
          </w:tcPr>
          <w:p>
            <w:pPr>
              <w:spacing w:before="0" w:line="360" w:lineRule="exact"/>
              <w:jc w:val="both"/>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*21.4</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建立入网食品销售者档案，对入网食品销售者进行实名登记，并对其食品经营许可证或仅销售预包装食品备案信息采集表等材料进行审查。</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spacing w:before="0" w:line="360" w:lineRule="exact"/>
              <w:jc w:val="both"/>
              <w:rPr>
                <w:rFonts w:hint="eastAsia" w:ascii="宋体" w:hAnsi="宋体" w:eastAsia="宋体" w:cs="宋体"/>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1094" w:type="dxa"/>
            <w:vMerge w:val="continue"/>
            <w:noWrap w:val="0"/>
            <w:vAlign w:val="center"/>
          </w:tcPr>
          <w:p>
            <w:pPr>
              <w:spacing w:before="0" w:line="360" w:lineRule="exact"/>
              <w:jc w:val="both"/>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*21.5</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对平台上的食品经营行为及信息进行检查。发现存在食品安全违法行为，及时制止，并向所在地县级市场监管部门报告。</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spacing w:before="0" w:line="360" w:lineRule="exact"/>
              <w:jc w:val="both"/>
              <w:rPr>
                <w:rFonts w:hint="eastAsia" w:ascii="宋体" w:hAnsi="宋体" w:eastAsia="宋体" w:cs="宋体"/>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restart"/>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22.从事食品贮存业务的非食品生产经营者</w:t>
            </w: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22.1</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color w:val="000000"/>
                <w:kern w:val="2"/>
                <w:sz w:val="24"/>
                <w:szCs w:val="24"/>
                <w:lang w:val="en-US" w:eastAsia="zh-CN" w:bidi="ar-SA"/>
              </w:rPr>
              <w:t>从事冷藏冷冻食品贮存业务的，自取得营业执照之日起30个工作日内向所在地县级市场监管部门备案。</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spacing w:before="0" w:line="360" w:lineRule="exact"/>
              <w:jc w:val="both"/>
              <w:rPr>
                <w:rFonts w:hint="eastAsia" w:ascii="宋体" w:hAnsi="宋体" w:eastAsia="宋体" w:cs="宋体"/>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1094" w:type="dxa"/>
            <w:vMerge w:val="continue"/>
            <w:noWrap w:val="0"/>
            <w:vAlign w:val="center"/>
          </w:tcPr>
          <w:p>
            <w:pPr>
              <w:spacing w:before="0" w:line="360" w:lineRule="exact"/>
              <w:jc w:val="both"/>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*22.2</w:t>
            </w:r>
          </w:p>
        </w:tc>
        <w:tc>
          <w:tcPr>
            <w:tcW w:w="9669" w:type="dxa"/>
            <w:noWrap w:val="0"/>
            <w:vAlign w:val="center"/>
          </w:tcPr>
          <w:p>
            <w:pPr>
              <w:spacing w:before="0" w:line="360" w:lineRule="exact"/>
              <w:jc w:val="both"/>
              <w:rPr>
                <w:rFonts w:hint="eastAsia" w:ascii="宋体" w:hAnsi="宋体" w:eastAsia="宋体" w:cs="宋体"/>
                <w:kern w:val="2"/>
                <w:sz w:val="24"/>
                <w:szCs w:val="24"/>
                <w:lang w:val="en-US" w:eastAsia="zh-CN" w:bidi="ar-SA"/>
              </w:rPr>
            </w:pPr>
            <w:r>
              <w:rPr>
                <w:rFonts w:hint="eastAsia" w:ascii="宋体" w:hAnsi="宋体" w:eastAsia="宋体" w:cs="宋体"/>
                <w:color w:val="000000"/>
                <w:kern w:val="2"/>
                <w:sz w:val="24"/>
                <w:szCs w:val="24"/>
                <w:lang w:val="en-US" w:eastAsia="zh-CN" w:bidi="ar-SA"/>
              </w:rPr>
              <w:t>保证食品贮存条件符合食品安全的要求，加强食品贮存过程管理。</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spacing w:before="0" w:line="360" w:lineRule="exact"/>
              <w:jc w:val="both"/>
              <w:rPr>
                <w:rFonts w:hint="eastAsia" w:ascii="宋体" w:hAnsi="宋体" w:eastAsia="宋体" w:cs="宋体"/>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4" w:type="dxa"/>
            <w:vMerge w:val="continue"/>
            <w:noWrap w:val="0"/>
            <w:vAlign w:val="center"/>
          </w:tcPr>
          <w:p>
            <w:pPr>
              <w:spacing w:before="0" w:line="360" w:lineRule="exact"/>
              <w:jc w:val="both"/>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*22.3</w:t>
            </w:r>
          </w:p>
        </w:tc>
        <w:tc>
          <w:tcPr>
            <w:tcW w:w="9669" w:type="dxa"/>
            <w:noWrap w:val="0"/>
            <w:vAlign w:val="center"/>
          </w:tcPr>
          <w:p>
            <w:pPr>
              <w:spacing w:before="0" w:line="360" w:lineRule="exact"/>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留存委托方的食品生产经营许可证复印件（或仅销售预包装食品备案信息采集表）。如实记录委托方的名称、统一社会信用代码、地址、联系方式以及委托贮存的冷藏冷冻食品名称、数量、时间等内容。记录和相关凭证的保存期限不得少于贮存结束后2年。</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spacing w:before="0" w:line="360" w:lineRule="exact"/>
              <w:jc w:val="both"/>
              <w:rPr>
                <w:rFonts w:hint="eastAsia" w:ascii="宋体" w:hAnsi="宋体" w:eastAsia="宋体" w:cs="宋体"/>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1094" w:type="dxa"/>
            <w:vMerge w:val="continue"/>
            <w:noWrap w:val="0"/>
            <w:vAlign w:val="center"/>
          </w:tcPr>
          <w:p>
            <w:pPr>
              <w:spacing w:before="0" w:line="360" w:lineRule="exact"/>
              <w:jc w:val="both"/>
              <w:rPr>
                <w:rFonts w:hint="eastAsia" w:ascii="宋体" w:hAnsi="宋体" w:eastAsia="宋体" w:cs="宋体"/>
                <w:kern w:val="2"/>
                <w:sz w:val="24"/>
                <w:szCs w:val="24"/>
                <w:lang w:val="en-US" w:eastAsia="zh-CN" w:bidi="ar-SA"/>
              </w:rPr>
            </w:pPr>
          </w:p>
        </w:tc>
        <w:tc>
          <w:tcPr>
            <w:tcW w:w="934"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22.4</w:t>
            </w:r>
          </w:p>
        </w:tc>
        <w:tc>
          <w:tcPr>
            <w:tcW w:w="9669" w:type="dxa"/>
            <w:noWrap w:val="0"/>
            <w:vAlign w:val="center"/>
          </w:tcPr>
          <w:p>
            <w:pPr>
              <w:spacing w:before="0" w:line="360" w:lineRule="exact"/>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场所环境及设施设备等符合相关要求，具体见食品通用检查相关项目。</w:t>
            </w:r>
          </w:p>
        </w:tc>
        <w:tc>
          <w:tcPr>
            <w:tcW w:w="1362" w:type="dxa"/>
            <w:noWrap w:val="0"/>
            <w:vAlign w:val="center"/>
          </w:tcPr>
          <w:p>
            <w:pPr>
              <w:spacing w:before="0" w:line="36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□是 □否</w:t>
            </w:r>
          </w:p>
        </w:tc>
        <w:tc>
          <w:tcPr>
            <w:tcW w:w="955" w:type="dxa"/>
            <w:noWrap w:val="0"/>
            <w:vAlign w:val="center"/>
          </w:tcPr>
          <w:p>
            <w:pPr>
              <w:spacing w:before="0" w:line="360" w:lineRule="exact"/>
              <w:jc w:val="both"/>
              <w:rPr>
                <w:rFonts w:hint="eastAsia" w:ascii="宋体" w:hAnsi="宋体" w:eastAsia="宋体" w:cs="宋体"/>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4014" w:type="dxa"/>
            <w:gridSpan w:val="5"/>
            <w:noWrap w:val="0"/>
            <w:vAlign w:val="center"/>
          </w:tcPr>
          <w:p>
            <w:pPr>
              <w:spacing w:before="156" w:beforeLines="50" w:after="156" w:afterLines="50" w:line="270" w:lineRule="exact"/>
              <w:jc w:val="left"/>
              <w:rPr>
                <w:rFonts w:hint="eastAsia" w:ascii="宋体" w:hAnsi="宋体" w:eastAsia="宋体" w:cs="宋体"/>
                <w:b w:val="0"/>
                <w:bCs/>
                <w:kern w:val="2"/>
                <w:sz w:val="24"/>
                <w:szCs w:val="24"/>
                <w:lang w:eastAsia="zh-CN" w:bidi="ar-SA"/>
              </w:rPr>
            </w:pPr>
            <w:r>
              <w:rPr>
                <w:rFonts w:hint="eastAsia" w:ascii="宋体" w:hAnsi="宋体" w:eastAsia="宋体" w:cs="宋体"/>
                <w:b w:val="0"/>
                <w:bCs/>
                <w:kern w:val="2"/>
                <w:sz w:val="24"/>
                <w:szCs w:val="24"/>
                <w:lang w:eastAsia="zh-CN" w:bidi="ar-SA"/>
              </w:rPr>
              <w:t>其他需要记录的问题：</w:t>
            </w:r>
          </w:p>
          <w:p>
            <w:pPr>
              <w:spacing w:line="270" w:lineRule="exact"/>
              <w:ind w:left="-9"/>
              <w:jc w:val="both"/>
              <w:rPr>
                <w:rFonts w:hint="eastAsia" w:ascii="宋体" w:hAnsi="宋体" w:eastAsia="宋体" w:cs="宋体"/>
                <w:color w:val="000000"/>
                <w:kern w:val="2"/>
                <w:sz w:val="24"/>
                <w:szCs w:val="24"/>
                <w:lang w:eastAsia="zh-CN" w:bidi="ar-SA"/>
              </w:rPr>
            </w:pPr>
          </w:p>
          <w:p>
            <w:pPr>
              <w:spacing w:line="270" w:lineRule="exact"/>
              <w:ind w:left="0"/>
              <w:jc w:val="both"/>
              <w:rPr>
                <w:rFonts w:hint="eastAsia" w:ascii="宋体" w:hAnsi="宋体" w:eastAsia="宋体" w:cs="宋体"/>
                <w:color w:val="000000"/>
                <w:kern w:val="2"/>
                <w:sz w:val="24"/>
                <w:szCs w:val="24"/>
                <w:lang w:eastAsia="zh-CN" w:bidi="ar-SA"/>
              </w:rPr>
            </w:pPr>
          </w:p>
          <w:p>
            <w:pPr>
              <w:spacing w:line="270" w:lineRule="exact"/>
              <w:ind w:left="-9"/>
              <w:jc w:val="both"/>
              <w:rPr>
                <w:rFonts w:hint="eastAsia" w:ascii="宋体" w:hAnsi="宋体" w:eastAsia="宋体" w:cs="宋体"/>
                <w:color w:val="000000"/>
                <w:kern w:val="2"/>
                <w:sz w:val="24"/>
                <w:szCs w:val="24"/>
                <w:lang w:eastAsia="zh-CN" w:bidi="ar-SA"/>
              </w:rPr>
            </w:pPr>
          </w:p>
          <w:p>
            <w:pPr>
              <w:spacing w:line="270" w:lineRule="exact"/>
              <w:ind w:left="-9"/>
              <w:jc w:val="both"/>
              <w:rPr>
                <w:rFonts w:hint="eastAsia" w:ascii="宋体" w:hAnsi="宋体" w:eastAsia="宋体" w:cs="宋体"/>
                <w:color w:val="000000"/>
                <w:kern w:val="2"/>
                <w:sz w:val="24"/>
                <w:szCs w:val="24"/>
                <w:lang w:eastAsia="zh-CN" w:bidi="ar-SA"/>
              </w:rPr>
            </w:pPr>
          </w:p>
        </w:tc>
      </w:tr>
    </w:tbl>
    <w:p>
      <w:pPr>
        <w:jc w:val="both"/>
        <w:rPr>
          <w:rFonts w:hint="eastAsia" w:ascii="宋体" w:hAnsi="宋体" w:eastAsia="宋体" w:cs="宋体"/>
          <w:kern w:val="2"/>
          <w:sz w:val="24"/>
          <w:szCs w:val="24"/>
          <w:lang w:eastAsia="zh-CN" w:bidi="ar-SA"/>
        </w:rPr>
      </w:pPr>
      <w:r>
        <w:rPr>
          <w:rFonts w:hint="eastAsia" w:ascii="宋体" w:hAnsi="宋体" w:eastAsia="宋体" w:cs="宋体"/>
          <w:kern w:val="2"/>
          <w:sz w:val="24"/>
          <w:szCs w:val="24"/>
          <w:lang w:eastAsia="zh-CN" w:bidi="ar-SA"/>
        </w:rPr>
        <w:t>说明：</w:t>
      </w:r>
      <w:r>
        <w:rPr>
          <w:rFonts w:hint="eastAsia" w:ascii="宋体" w:hAnsi="宋体" w:eastAsia="宋体" w:cs="宋体"/>
          <w:kern w:val="2"/>
          <w:sz w:val="24"/>
          <w:szCs w:val="24"/>
          <w:lang w:val="en-US" w:eastAsia="zh-CN" w:bidi="ar-SA"/>
        </w:rPr>
        <w:t>1</w:t>
      </w:r>
      <w:r>
        <w:rPr>
          <w:rFonts w:hint="eastAsia" w:ascii="宋体" w:hAnsi="宋体" w:eastAsia="宋体" w:cs="宋体"/>
          <w:kern w:val="2"/>
          <w:sz w:val="24"/>
          <w:szCs w:val="24"/>
          <w:lang w:eastAsia="zh-CN" w:bidi="ar-SA"/>
        </w:rPr>
        <w:t>.如果检查项目存在合理缺项，该项无需勾选“是”与“否”，并在备注中说明，不计入否项数。</w:t>
      </w:r>
    </w:p>
    <w:p>
      <w:pPr>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 xml:space="preserve">      2.检查具体要求可参考《食品销售安全监督检查指南》《特殊食品安全销售监督检查指南》。</w:t>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bCs/>
          <w:color w:val="000000"/>
          <w:kern w:val="2"/>
          <w:sz w:val="44"/>
          <w:szCs w:val="44"/>
          <w:lang w:eastAsia="zh-CN" w:bidi="ar-SA"/>
        </w:rPr>
      </w:pPr>
      <w:r>
        <w:rPr>
          <w:rFonts w:hint="eastAsia" w:ascii="方正小标宋简体" w:hAnsi="方正小标宋简体" w:eastAsia="方正小标宋简体" w:cs="方正小标宋简体"/>
          <w:bCs/>
          <w:color w:val="000000"/>
          <w:kern w:val="2"/>
          <w:sz w:val="44"/>
          <w:szCs w:val="44"/>
          <w:lang w:eastAsia="zh-CN" w:bidi="ar-SA"/>
        </w:rPr>
        <w:t>表</w:t>
      </w:r>
      <w:r>
        <w:rPr>
          <w:rFonts w:hint="eastAsia" w:ascii="方正小标宋简体" w:hAnsi="方正小标宋简体" w:eastAsia="方正小标宋简体" w:cs="方正小标宋简体"/>
          <w:bCs/>
          <w:color w:val="000000"/>
          <w:kern w:val="2"/>
          <w:sz w:val="44"/>
          <w:szCs w:val="44"/>
          <w:lang w:val="en-US" w:eastAsia="zh-CN" w:bidi="ar-SA"/>
        </w:rPr>
        <w:t xml:space="preserve">1-3  </w:t>
      </w:r>
      <w:r>
        <w:rPr>
          <w:rFonts w:hint="eastAsia" w:ascii="方正小标宋简体" w:hAnsi="方正小标宋简体" w:eastAsia="方正小标宋简体" w:cs="方正小标宋简体"/>
          <w:bCs/>
          <w:color w:val="000000"/>
          <w:kern w:val="2"/>
          <w:sz w:val="44"/>
          <w:szCs w:val="44"/>
          <w:lang w:eastAsia="zh-CN" w:bidi="ar-SA"/>
        </w:rPr>
        <w:t>餐饮服务监督检查要点表</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both"/>
        <w:textAlignment w:val="auto"/>
        <w:outlineLvl w:val="9"/>
        <w:rPr>
          <w:rFonts w:hint="eastAsia" w:ascii="宋体" w:hAnsi="宋体" w:eastAsia="宋体" w:cs="宋体"/>
          <w:kern w:val="2"/>
          <w:sz w:val="24"/>
          <w:szCs w:val="24"/>
          <w:lang w:eastAsia="zh-CN" w:bidi="ar-SA"/>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outlineLvl w:val="9"/>
        <w:rPr>
          <w:rFonts w:hint="eastAsia" w:ascii="宋体" w:hAnsi="宋体" w:eastAsia="宋体" w:cs="宋体"/>
          <w:b/>
          <w:bCs/>
          <w:color w:val="000000"/>
          <w:kern w:val="2"/>
          <w:sz w:val="24"/>
          <w:szCs w:val="24"/>
          <w:lang w:eastAsia="zh-CN" w:bidi="ar-SA"/>
        </w:rPr>
      </w:pPr>
      <w:r>
        <w:rPr>
          <w:rFonts w:hint="eastAsia" w:ascii="宋体" w:hAnsi="宋体" w:eastAsia="宋体" w:cs="宋体"/>
          <w:kern w:val="2"/>
          <w:sz w:val="24"/>
          <w:szCs w:val="24"/>
          <w:lang w:eastAsia="zh-CN" w:bidi="ar-SA"/>
        </w:rPr>
        <w:t>检查项目：重点项（*）</w:t>
      </w:r>
      <w:r>
        <w:rPr>
          <w:rFonts w:hint="eastAsia" w:ascii="宋体" w:hAnsi="宋体" w:eastAsia="宋体" w:cs="宋体"/>
          <w:kern w:val="2"/>
          <w:sz w:val="24"/>
          <w:szCs w:val="24"/>
          <w:lang w:val="en-US" w:eastAsia="zh-CN" w:bidi="ar-SA"/>
        </w:rPr>
        <w:t>19</w:t>
      </w:r>
      <w:r>
        <w:rPr>
          <w:rFonts w:hint="eastAsia" w:ascii="宋体" w:hAnsi="宋体" w:eastAsia="宋体" w:cs="宋体"/>
          <w:kern w:val="2"/>
          <w:sz w:val="24"/>
          <w:szCs w:val="24"/>
          <w:lang w:eastAsia="zh-CN" w:bidi="ar-SA"/>
        </w:rPr>
        <w:t>项，一般项</w:t>
      </w:r>
      <w:r>
        <w:rPr>
          <w:rFonts w:hint="eastAsia" w:ascii="宋体" w:hAnsi="宋体" w:eastAsia="宋体" w:cs="宋体"/>
          <w:kern w:val="2"/>
          <w:sz w:val="24"/>
          <w:szCs w:val="24"/>
          <w:lang w:val="en-US" w:eastAsia="zh-CN" w:bidi="ar-SA"/>
        </w:rPr>
        <w:t>37</w:t>
      </w:r>
      <w:r>
        <w:rPr>
          <w:rFonts w:hint="eastAsia" w:ascii="宋体" w:hAnsi="宋体" w:eastAsia="宋体" w:cs="宋体"/>
          <w:kern w:val="2"/>
          <w:sz w:val="24"/>
          <w:szCs w:val="24"/>
          <w:lang w:eastAsia="zh-CN" w:bidi="ar-SA"/>
        </w:rPr>
        <w:t>项，共</w:t>
      </w:r>
      <w:r>
        <w:rPr>
          <w:rFonts w:hint="eastAsia" w:ascii="宋体" w:hAnsi="宋体" w:eastAsia="宋体" w:cs="宋体"/>
          <w:kern w:val="2"/>
          <w:sz w:val="24"/>
          <w:szCs w:val="24"/>
          <w:lang w:val="en-US" w:eastAsia="zh-CN" w:bidi="ar-SA"/>
        </w:rPr>
        <w:t>56</w:t>
      </w:r>
      <w:r>
        <w:rPr>
          <w:rFonts w:hint="eastAsia" w:ascii="宋体" w:hAnsi="宋体" w:eastAsia="宋体" w:cs="宋体"/>
          <w:kern w:val="2"/>
          <w:sz w:val="24"/>
          <w:szCs w:val="24"/>
          <w:lang w:eastAsia="zh-CN" w:bidi="ar-SA"/>
        </w:rPr>
        <w:t>项</w:t>
      </w:r>
    </w:p>
    <w:tbl>
      <w:tblPr>
        <w:tblStyle w:val="6"/>
        <w:tblW w:w="13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330"/>
        <w:gridCol w:w="1236"/>
        <w:gridCol w:w="7246"/>
        <w:gridCol w:w="1466"/>
        <w:gridCol w:w="21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1" w:hRule="atLeast"/>
          <w:jc w:val="center"/>
        </w:trPr>
        <w:tc>
          <w:tcPr>
            <w:tcW w:w="133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黑体" w:eastAsia="黑体" w:cs="黑体"/>
                <w:color w:val="000000"/>
                <w:kern w:val="2"/>
                <w:sz w:val="24"/>
                <w:szCs w:val="24"/>
                <w:lang w:eastAsia="zh-CN" w:bidi="ar-SA"/>
              </w:rPr>
            </w:pPr>
            <w:r>
              <w:rPr>
                <w:rFonts w:hint="eastAsia" w:ascii="黑体" w:hAnsi="黑体" w:eastAsia="黑体" w:cs="黑体"/>
                <w:color w:val="000000"/>
                <w:kern w:val="2"/>
                <w:sz w:val="24"/>
                <w:szCs w:val="24"/>
                <w:lang w:eastAsia="zh-CN" w:bidi="ar-SA"/>
              </w:rPr>
              <w:t>检查项目</w:t>
            </w: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黑体" w:eastAsia="黑体" w:cs="黑体"/>
                <w:color w:val="000000"/>
                <w:kern w:val="2"/>
                <w:sz w:val="24"/>
                <w:szCs w:val="24"/>
                <w:lang w:eastAsia="zh-CN" w:bidi="ar-SA"/>
              </w:rPr>
            </w:pPr>
            <w:r>
              <w:rPr>
                <w:rFonts w:hint="eastAsia" w:ascii="黑体" w:hAnsi="黑体" w:eastAsia="黑体" w:cs="黑体"/>
                <w:color w:val="000000"/>
                <w:kern w:val="2"/>
                <w:sz w:val="24"/>
                <w:szCs w:val="24"/>
                <w:lang w:eastAsia="zh-CN" w:bidi="ar-SA"/>
              </w:rPr>
              <w:t>序号</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黑体" w:eastAsia="黑体" w:cs="黑体"/>
                <w:color w:val="000000"/>
                <w:kern w:val="2"/>
                <w:sz w:val="24"/>
                <w:szCs w:val="24"/>
                <w:lang w:eastAsia="zh-CN" w:bidi="ar-SA"/>
              </w:rPr>
            </w:pPr>
            <w:r>
              <w:rPr>
                <w:rFonts w:hint="eastAsia" w:ascii="黑体" w:hAnsi="黑体" w:eastAsia="黑体" w:cs="黑体"/>
                <w:color w:val="000000"/>
                <w:kern w:val="2"/>
                <w:sz w:val="24"/>
                <w:szCs w:val="24"/>
                <w:lang w:eastAsia="zh-CN" w:bidi="ar-SA"/>
              </w:rPr>
              <w:t>检查内容</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黑体" w:eastAsia="黑体" w:cs="黑体"/>
                <w:color w:val="000000"/>
                <w:kern w:val="2"/>
                <w:sz w:val="24"/>
                <w:szCs w:val="24"/>
                <w:lang w:eastAsia="zh-CN" w:bidi="ar-SA"/>
              </w:rPr>
            </w:pPr>
            <w:r>
              <w:rPr>
                <w:rFonts w:hint="eastAsia" w:ascii="黑体" w:hAnsi="黑体" w:eastAsia="黑体" w:cs="黑体"/>
                <w:color w:val="000000"/>
                <w:kern w:val="2"/>
                <w:sz w:val="24"/>
                <w:szCs w:val="24"/>
                <w:lang w:eastAsia="zh-CN" w:bidi="ar-SA"/>
              </w:rPr>
              <w:t>检查结果</w:t>
            </w:r>
          </w:p>
        </w:tc>
        <w:tc>
          <w:tcPr>
            <w:tcW w:w="210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黑体" w:hAnsi="黑体" w:eastAsia="黑体" w:cs="黑体"/>
                <w:color w:val="000000"/>
                <w:kern w:val="2"/>
                <w:sz w:val="24"/>
                <w:szCs w:val="24"/>
                <w:lang w:eastAsia="zh-CN" w:bidi="ar-SA"/>
              </w:rPr>
            </w:pPr>
            <w:r>
              <w:rPr>
                <w:rFonts w:hint="eastAsia" w:ascii="黑体" w:hAnsi="黑体" w:eastAsia="黑体" w:cs="黑体"/>
                <w:color w:val="000000"/>
                <w:kern w:val="2"/>
                <w:sz w:val="24"/>
                <w:szCs w:val="24"/>
                <w:lang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330" w:type="dxa"/>
            <w:vMerge w:val="restart"/>
            <w:tcBorders>
              <w:top w:val="nil"/>
              <w:left w:val="single" w:color="auto" w:sz="4" w:space="0"/>
              <w:right w:val="single" w:color="auto" w:sz="4" w:space="0"/>
            </w:tcBorders>
            <w:shd w:val="clear" w:color="auto" w:fill="auto"/>
            <w:vAlign w:val="center"/>
          </w:tcPr>
          <w:p>
            <w:pPr>
              <w:adjustRightInd w:val="0"/>
              <w:snapToGrid w:val="0"/>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val="en-US" w:eastAsia="zh-CN" w:bidi="ar-SA"/>
              </w:rPr>
              <w:t>1.</w:t>
            </w:r>
            <w:r>
              <w:rPr>
                <w:rFonts w:hint="eastAsia" w:ascii="宋体" w:hAnsi="宋体" w:eastAsia="宋体" w:cs="宋体"/>
                <w:color w:val="000000"/>
                <w:kern w:val="2"/>
                <w:sz w:val="24"/>
                <w:szCs w:val="24"/>
                <w:lang w:eastAsia="zh-CN" w:bidi="ar-SA"/>
              </w:rPr>
              <w:t>餐饮服务提供者资质</w:t>
            </w:r>
          </w:p>
        </w:tc>
        <w:tc>
          <w:tcPr>
            <w:tcW w:w="1236" w:type="dxa"/>
            <w:tcBorders>
              <w:top w:val="nil"/>
              <w:left w:val="single" w:color="auto" w:sz="4" w:space="0"/>
              <w:bottom w:val="single" w:color="auto" w:sz="4" w:space="0"/>
              <w:right w:val="single" w:color="auto" w:sz="4" w:space="0"/>
            </w:tcBorders>
            <w:shd w:val="clear" w:color="auto" w:fill="auto"/>
            <w:vAlign w:val="center"/>
          </w:tcPr>
          <w:p>
            <w:pPr>
              <w:adjustRightInd w:val="0"/>
              <w:snapToGrid w:val="0"/>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*1.1</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食品经营许可证合法有效、与经营场所（实体门店）地址一致。</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330"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1.2</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未超出许可经营项目开展餐饮服务活动。</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1330" w:type="dxa"/>
            <w:vMerge w:val="restart"/>
            <w:tcBorders>
              <w:left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2.信息公示</w:t>
            </w:r>
          </w:p>
        </w:tc>
        <w:tc>
          <w:tcPr>
            <w:tcW w:w="123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2.1</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在经营场所的显著位置悬挂或者摆放食品经营许可证正本，或以电子形式公示。</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330"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val="en-US" w:eastAsia="zh-CN" w:bidi="ar-SA"/>
              </w:rPr>
            </w:pPr>
          </w:p>
        </w:tc>
        <w:tc>
          <w:tcPr>
            <w:tcW w:w="1236"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2.2</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曾开展过日常监督检查的餐饮服务提供者，按规定在经营场所醒目位置张贴或者公开展示对消费者有重要影响的监督检查结果记录表。</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330"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2.3</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公示从事接触直接入口食品工作的从业人员的有效健康证明。</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330"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2.4</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入网餐饮服务提供者</w:t>
            </w:r>
            <w:r>
              <w:rPr>
                <w:rFonts w:hint="eastAsia" w:ascii="宋体" w:hAnsi="宋体" w:eastAsia="宋体" w:cs="宋体"/>
                <w:color w:val="000000"/>
                <w:kern w:val="2"/>
                <w:sz w:val="24"/>
                <w:szCs w:val="24"/>
                <w:highlight w:val="none"/>
                <w:lang w:eastAsia="zh-CN" w:bidi="ar-SA"/>
              </w:rPr>
              <w:t>在线上经</w:t>
            </w:r>
            <w:r>
              <w:rPr>
                <w:rFonts w:hint="eastAsia" w:ascii="宋体" w:hAnsi="宋体" w:eastAsia="宋体" w:cs="宋体"/>
                <w:color w:val="000000"/>
                <w:kern w:val="2"/>
                <w:sz w:val="24"/>
                <w:szCs w:val="24"/>
                <w:lang w:eastAsia="zh-CN" w:bidi="ar-SA"/>
              </w:rPr>
              <w:t>营活动主页面公示餐饮服务提供者名称、地址、食品经营许可证等信息，公示信息真实，及时更新。</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330" w:type="dxa"/>
            <w:vMerge w:val="restart"/>
            <w:tcBorders>
              <w:left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3.从业人员健康管理</w:t>
            </w:r>
          </w:p>
        </w:tc>
        <w:tc>
          <w:tcPr>
            <w:tcW w:w="123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3.1</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2"/>
                <w:sz w:val="24"/>
                <w:szCs w:val="24"/>
                <w:lang w:eastAsia="zh-CN" w:bidi="ar-SA"/>
              </w:rPr>
              <w:t>制定从业人员健康管理制度。</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330"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3.2</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eastAsia="zh-CN" w:bidi="ar-SA"/>
              </w:rPr>
              <w:t>餐饮服务企业对各岗位从业人员进行相应的食品安全知识培训，做好培训记录。</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330"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*3.3</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eastAsia="zh-CN" w:bidi="ar-SA"/>
              </w:rPr>
              <w:t>有每日健康检查（晨检）记录。从事接触直接入口食品工作的从业人员持有有效的健康证明，未患有碍食品安全病症或手部有伤口。</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330"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3.4</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eastAsia="zh-CN" w:bidi="ar-SA"/>
              </w:rPr>
              <w:t>在岗从业人员保持良好个人卫生，手部清洁，无留长指甲、涂指甲油、饰物外露等情形。</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330"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3.5</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eastAsia="zh-CN" w:bidi="ar-SA"/>
              </w:rPr>
              <w:t>在岗从业人员穿戴洁净的工作衣帽。专间、专用操作区和其他操作区的从业人员工作服有明显区分。</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330"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3.6</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2"/>
                <w:sz w:val="24"/>
                <w:szCs w:val="24"/>
                <w:lang w:eastAsia="zh-CN" w:bidi="ar-SA"/>
              </w:rPr>
              <w:t>专间及专用操作区内的从业人员操作时，佩戴清洁的口罩，口罩遮住口鼻。</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330" w:type="dxa"/>
            <w:vMerge w:val="restart"/>
            <w:tcBorders>
              <w:top w:val="nil"/>
              <w:left w:val="single" w:color="auto" w:sz="4" w:space="0"/>
              <w:bottom w:val="single" w:color="auto" w:sz="4" w:space="0"/>
              <w:right w:val="single" w:color="auto" w:sz="4" w:space="0"/>
            </w:tcBorders>
            <w:shd w:val="clear" w:color="auto" w:fill="auto"/>
            <w:vAlign w:val="center"/>
          </w:tcPr>
          <w:p>
            <w:pPr>
              <w:adjustRightInd w:val="0"/>
              <w:snapToGrid w:val="0"/>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val="en-US" w:eastAsia="zh-CN" w:bidi="ar-SA"/>
              </w:rPr>
              <w:t>4.</w:t>
            </w:r>
            <w:r>
              <w:rPr>
                <w:rFonts w:hint="eastAsia" w:ascii="宋体" w:hAnsi="宋体" w:eastAsia="宋体" w:cs="宋体"/>
                <w:color w:val="000000"/>
                <w:kern w:val="2"/>
                <w:sz w:val="24"/>
                <w:szCs w:val="24"/>
                <w:lang w:eastAsia="zh-CN" w:bidi="ar-SA"/>
              </w:rPr>
              <w:t>原料控制（含食品添加剂、食品相关产品）</w:t>
            </w:r>
          </w:p>
        </w:tc>
        <w:tc>
          <w:tcPr>
            <w:tcW w:w="123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4.1</w:t>
            </w:r>
          </w:p>
        </w:tc>
        <w:tc>
          <w:tcPr>
            <w:tcW w:w="7246" w:type="dxa"/>
            <w:tcBorders>
              <w:top w:val="nil"/>
              <w:left w:val="single" w:color="auto" w:sz="4" w:space="0"/>
              <w:bottom w:val="single" w:color="auto" w:sz="4" w:space="0"/>
              <w:right w:val="single" w:color="auto" w:sz="4" w:space="0"/>
            </w:tcBorders>
            <w:shd w:val="clear" w:color="auto" w:fill="auto"/>
            <w:vAlign w:val="center"/>
          </w:tcPr>
          <w:p>
            <w:pPr>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随机抽查的餐饮服务提供者的食品、食品添加剂、食品相关产品有进货查验记录和合格证明文件。</w:t>
            </w:r>
          </w:p>
        </w:tc>
        <w:tc>
          <w:tcPr>
            <w:tcW w:w="1466" w:type="dxa"/>
            <w:tcBorders>
              <w:top w:val="single" w:color="auto" w:sz="4" w:space="0"/>
              <w:left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4.2</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食品贮存区不存在食品与非食品混放情形，未存放有毒有害物质；食品贮存符合分类、分架、离墙、离地、有标识等要求。</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*4.3</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eastAsia="zh-CN" w:bidi="ar-SA"/>
              </w:rPr>
              <w:t>需冷冻（藏）的食品原料、半成品和成品及时按要求进行冷冻（藏）。冷冻（藏）设施中的食品不存在原料、半成品、成品混放等情形；冷冻（藏）设施设有可正确显示内部温度的测温装置，冷冻（藏）温度符合要求。</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330"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*4.4</w:t>
            </w:r>
          </w:p>
        </w:tc>
        <w:tc>
          <w:tcPr>
            <w:tcW w:w="7246" w:type="dxa"/>
            <w:tcBorders>
              <w:top w:val="nil"/>
              <w:left w:val="single" w:color="auto" w:sz="4" w:space="0"/>
              <w:bottom w:val="single" w:color="auto" w:sz="4" w:space="0"/>
              <w:right w:val="single" w:color="auto" w:sz="4" w:space="0"/>
            </w:tcBorders>
            <w:shd w:val="clear" w:color="auto" w:fill="auto"/>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现场未查见无标签标识、无法说明来源以及其他明令禁止生产经营的物质。</w:t>
            </w:r>
          </w:p>
        </w:tc>
        <w:tc>
          <w:tcPr>
            <w:tcW w:w="1466" w:type="dxa"/>
            <w:tcBorders>
              <w:top w:val="single" w:color="auto" w:sz="4" w:space="0"/>
              <w:left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4.5</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特定餐饮服务提供者建立供货者评价和退出机制，自行或委托第三方机构定期对供货者食品安全状况进行现场评价。</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4.6</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在加工间和贮存设施内随机抽查的食品原料感官性状无异常、食品包装和标签标识符合要求。未采购、贮存、使用散装食盐。</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4.7</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对变质、超过保质期或者回收的食品进行显著标示或者单独存放在有明确标志的场所，及时进行无害化处理、销毁等，并如实记录。</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1330"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*4.8</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食品加工用水水质符合生活饮用水卫生标准。加工制作现榨果蔬汁和食用冰等直接入口食品的用水通过净水设施处理，或使用预包装饮用水、煮沸冷却后的生活饮用水。</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330" w:type="dxa"/>
            <w:vMerge w:val="restart"/>
            <w:tcBorders>
              <w:top w:val="single" w:color="auto" w:sz="4" w:space="0"/>
              <w:left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bCs/>
                <w:color w:val="000000"/>
                <w:kern w:val="2"/>
                <w:sz w:val="24"/>
                <w:szCs w:val="24"/>
                <w:lang w:val="en-US" w:eastAsia="zh-CN" w:bidi="ar-SA"/>
              </w:rPr>
              <w:t>5.</w:t>
            </w:r>
            <w:r>
              <w:rPr>
                <w:rFonts w:hint="eastAsia" w:ascii="宋体" w:hAnsi="宋体" w:eastAsia="宋体" w:cs="宋体"/>
                <w:bCs/>
                <w:color w:val="000000"/>
                <w:kern w:val="2"/>
                <w:sz w:val="24"/>
                <w:szCs w:val="24"/>
                <w:lang w:eastAsia="zh-CN" w:bidi="ar-SA"/>
              </w:rPr>
              <w:t>加工制作过程</w:t>
            </w: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5.1</w:t>
            </w:r>
          </w:p>
        </w:tc>
        <w:tc>
          <w:tcPr>
            <w:tcW w:w="7246" w:type="dxa"/>
            <w:tcBorders>
              <w:top w:val="single" w:color="auto" w:sz="4" w:space="0"/>
              <w:left w:val="single" w:color="auto" w:sz="4" w:space="0"/>
              <w:right w:val="single" w:color="auto" w:sz="4" w:space="0"/>
            </w:tcBorders>
            <w:shd w:val="clear" w:color="auto" w:fill="auto"/>
            <w:vAlign w:val="center"/>
          </w:tcPr>
          <w:p>
            <w:pPr>
              <w:jc w:val="both"/>
              <w:rPr>
                <w:rFonts w:hint="eastAsia" w:ascii="宋体" w:hAnsi="宋体" w:eastAsia="宋体" w:cs="宋体"/>
                <w:bCs/>
                <w:color w:val="000000"/>
                <w:kern w:val="2"/>
                <w:sz w:val="24"/>
                <w:szCs w:val="24"/>
                <w:lang w:eastAsia="zh-CN" w:bidi="ar-SA"/>
              </w:rPr>
            </w:pPr>
            <w:r>
              <w:rPr>
                <w:rFonts w:hint="eastAsia" w:ascii="宋体" w:hAnsi="宋体" w:eastAsia="宋体" w:cs="宋体"/>
                <w:bCs/>
                <w:color w:val="000000"/>
                <w:kern w:val="2"/>
                <w:sz w:val="24"/>
                <w:szCs w:val="24"/>
                <w:lang w:eastAsia="zh-CN" w:bidi="ar-SA"/>
              </w:rPr>
              <w:t>具有与其加工制作的食品品种、数量相适应的加工场所及设施设备等。</w:t>
            </w:r>
          </w:p>
        </w:tc>
        <w:tc>
          <w:tcPr>
            <w:tcW w:w="1466" w:type="dxa"/>
            <w:tcBorders>
              <w:top w:val="single" w:color="auto" w:sz="4" w:space="0"/>
              <w:left w:val="single" w:color="auto" w:sz="4" w:space="0"/>
              <w:right w:val="single" w:color="auto" w:sz="4" w:space="0"/>
            </w:tcBorders>
            <w:shd w:val="clear" w:color="auto" w:fill="auto"/>
            <w:vAlign w:val="center"/>
          </w:tcPr>
          <w:p>
            <w:pPr>
              <w:jc w:val="center"/>
              <w:rPr>
                <w:rFonts w:hint="eastAsia" w:ascii="宋体" w:hAnsi="宋体" w:eastAsia="宋体" w:cs="宋体"/>
                <w:bCs/>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right w:val="single" w:color="auto" w:sz="4" w:space="0"/>
            </w:tcBorders>
            <w:shd w:val="clear" w:color="auto" w:fill="auto"/>
          </w:tcPr>
          <w:p>
            <w:pPr>
              <w:jc w:val="left"/>
              <w:rPr>
                <w:rFonts w:hint="eastAsia" w:ascii="宋体" w:hAnsi="宋体" w:eastAsia="宋体" w:cs="宋体"/>
                <w:bCs/>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1330" w:type="dxa"/>
            <w:vMerge w:val="continue"/>
            <w:tcBorders>
              <w:left w:val="single" w:color="auto" w:sz="4" w:space="0"/>
              <w:right w:val="single" w:color="auto" w:sz="4" w:space="0"/>
            </w:tcBorders>
            <w:shd w:val="clear" w:color="auto" w:fill="auto"/>
            <w:vAlign w:val="center"/>
          </w:tcPr>
          <w:p>
            <w:pPr>
              <w:jc w:val="center"/>
              <w:rPr>
                <w:rFonts w:hint="eastAsia" w:ascii="宋体" w:hAnsi="宋体" w:eastAsia="宋体" w:cs="宋体"/>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*5.2</w:t>
            </w:r>
          </w:p>
        </w:tc>
        <w:tc>
          <w:tcPr>
            <w:tcW w:w="7246" w:type="dxa"/>
            <w:tcBorders>
              <w:left w:val="single" w:color="auto" w:sz="4" w:space="0"/>
              <w:right w:val="single" w:color="auto" w:sz="4" w:space="0"/>
            </w:tcBorders>
            <w:shd w:val="clear" w:color="auto" w:fill="auto"/>
            <w:vAlign w:val="center"/>
          </w:tcPr>
          <w:p>
            <w:pPr>
              <w:jc w:val="both"/>
              <w:rPr>
                <w:rFonts w:hint="eastAsia" w:ascii="宋体" w:hAnsi="宋体" w:eastAsia="宋体" w:cs="宋体"/>
                <w:color w:val="000000"/>
                <w:kern w:val="2"/>
                <w:sz w:val="24"/>
                <w:szCs w:val="24"/>
                <w:lang w:val="en-US" w:eastAsia="zh-CN" w:bidi="ar-SA"/>
              </w:rPr>
            </w:pPr>
            <w:r>
              <w:rPr>
                <w:rFonts w:hint="eastAsia" w:ascii="宋体" w:hAnsi="宋体" w:eastAsia="宋体" w:cs="宋体"/>
                <w:bCs/>
                <w:color w:val="000000"/>
                <w:kern w:val="2"/>
                <w:sz w:val="24"/>
                <w:szCs w:val="24"/>
                <w:lang w:eastAsia="zh-CN" w:bidi="ar-SA"/>
              </w:rPr>
              <w:t>原料、半成品、成品及其盛放容器和加工制作工具区分标识明显、分开放置和使用；防止食品交叉污染的措施有效。</w:t>
            </w:r>
          </w:p>
        </w:tc>
        <w:tc>
          <w:tcPr>
            <w:tcW w:w="1466" w:type="dxa"/>
            <w:tcBorders>
              <w:left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left w:val="single" w:color="auto" w:sz="4" w:space="0"/>
              <w:right w:val="single" w:color="auto" w:sz="4" w:space="0"/>
            </w:tcBorders>
            <w:shd w:val="clear" w:color="auto" w:fill="auto"/>
          </w:tcPr>
          <w:p>
            <w:pPr>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330" w:type="dxa"/>
            <w:vMerge w:val="continue"/>
            <w:tcBorders>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*5.3</w:t>
            </w:r>
          </w:p>
        </w:tc>
        <w:tc>
          <w:tcPr>
            <w:tcW w:w="7246" w:type="dxa"/>
            <w:tcBorders>
              <w:left w:val="single" w:color="auto" w:sz="4" w:space="0"/>
              <w:bottom w:val="single" w:color="auto" w:sz="4" w:space="0"/>
              <w:right w:val="single" w:color="auto" w:sz="4" w:space="0"/>
            </w:tcBorders>
            <w:shd w:val="clear" w:color="auto" w:fill="auto"/>
            <w:vAlign w:val="center"/>
          </w:tcPr>
          <w:p>
            <w:pPr>
              <w:jc w:val="both"/>
              <w:rPr>
                <w:rFonts w:hint="eastAsia" w:ascii="宋体" w:hAnsi="宋体" w:eastAsia="宋体" w:cs="宋体"/>
                <w:color w:val="000000"/>
                <w:kern w:val="2"/>
                <w:sz w:val="24"/>
                <w:szCs w:val="24"/>
                <w:lang w:val="en-US" w:eastAsia="zh-CN" w:bidi="ar-SA"/>
              </w:rPr>
            </w:pPr>
            <w:r>
              <w:rPr>
                <w:rFonts w:hint="eastAsia" w:ascii="宋体" w:hAnsi="宋体" w:eastAsia="宋体" w:cs="宋体"/>
                <w:bCs/>
                <w:color w:val="000000"/>
                <w:kern w:val="2"/>
                <w:sz w:val="24"/>
                <w:szCs w:val="24"/>
                <w:lang w:eastAsia="zh-CN" w:bidi="ar-SA"/>
              </w:rPr>
              <w:t>不存在《食品安全法》等法律、法规禁止的行为。</w:t>
            </w:r>
          </w:p>
        </w:tc>
        <w:tc>
          <w:tcPr>
            <w:tcW w:w="1466" w:type="dxa"/>
            <w:tcBorders>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left w:val="single" w:color="auto" w:sz="4" w:space="0"/>
              <w:bottom w:val="single" w:color="auto" w:sz="4" w:space="0"/>
              <w:right w:val="single" w:color="auto" w:sz="4" w:space="0"/>
            </w:tcBorders>
            <w:shd w:val="clear" w:color="auto" w:fill="auto"/>
          </w:tcPr>
          <w:p>
            <w:pPr>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5.4</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食品原料洗净后使用。各类水池有明显标识标明用途，分类清洗动物性食品、植物性食品和水产品。未经清洁的禽蛋使用前清洁外壳。</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5.5</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盛放调味料的容器保持清洁，加盖存放。煎炸油的色泽、气味、状态无异常，必要时进行检测。油炸类食品、烧烤类食品、火锅类食品、糕点类食品、自制饮品等加工过程符合要求。</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1330"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*5.6</w:t>
            </w:r>
          </w:p>
        </w:tc>
        <w:tc>
          <w:tcPr>
            <w:tcW w:w="7246" w:type="dxa"/>
            <w:tcBorders>
              <w:top w:val="nil"/>
              <w:left w:val="single" w:color="auto" w:sz="4" w:space="0"/>
              <w:right w:val="single" w:color="auto" w:sz="4" w:space="0"/>
            </w:tcBorders>
            <w:shd w:val="clear" w:color="auto" w:fill="auto"/>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专间及专用操作区的标识、设施、人员及操作符合要求。</w:t>
            </w:r>
          </w:p>
        </w:tc>
        <w:tc>
          <w:tcPr>
            <w:tcW w:w="1466" w:type="dxa"/>
            <w:tcBorders>
              <w:top w:val="single" w:color="auto" w:sz="4" w:space="0"/>
              <w:left w:val="single" w:color="auto" w:sz="4" w:space="0"/>
              <w:right w:val="single" w:color="auto" w:sz="4" w:space="0"/>
            </w:tcBorders>
            <w:shd w:val="clear" w:color="auto" w:fill="auto"/>
            <w:vAlign w:val="center"/>
          </w:tcPr>
          <w:p>
            <w:pPr>
              <w:adjustRightInd w:val="0"/>
              <w:snapToGrid w:val="0"/>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5.7</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学校（含托幼机构）食堂、养老机构食堂、医疗机构食堂、建筑工地食堂等集中用餐单位的食堂以及中央厨房、集体用餐配送单位、一次性集体聚餐人数超过100人或为重大活动供餐的餐饮服务提供者，按规定留样。</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*5.8</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eastAsia="zh-CN" w:bidi="ar-SA"/>
              </w:rPr>
              <w:t>中小学、幼儿园食堂未制售冷荤类食品、生食类食品、裱花蛋糕，未加工制作四季豆、鲜黄花菜、野生蘑菇、发芽土豆等高风险食品，未设置酒销售点。</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restart"/>
            <w:tcBorders>
              <w:top w:val="nil"/>
              <w:left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6.食品添加剂使用管理</w:t>
            </w: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6.1</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eastAsia="zh-CN" w:bidi="ar-SA"/>
              </w:rPr>
              <w:t>食品添加剂存放、使用、管理符合要求。</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330"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val="en-US" w:eastAsia="zh-CN" w:bidi="ar-SA"/>
              </w:rPr>
            </w:pP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*6.2</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未采购、贮存、使用亚硝酸盐等国家禁止在餐饮业使用的品种。</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330" w:type="dxa"/>
            <w:vMerge w:val="restart"/>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val="en-US" w:eastAsia="zh-CN" w:bidi="ar-SA"/>
              </w:rPr>
              <w:t>7.</w:t>
            </w:r>
            <w:r>
              <w:rPr>
                <w:rFonts w:hint="eastAsia" w:ascii="宋体" w:hAnsi="宋体" w:eastAsia="宋体" w:cs="宋体"/>
                <w:color w:val="000000"/>
                <w:kern w:val="2"/>
                <w:sz w:val="24"/>
                <w:szCs w:val="24"/>
                <w:lang w:eastAsia="zh-CN" w:bidi="ar-SA"/>
              </w:rPr>
              <w:t>备餐、供餐与配送</w:t>
            </w:r>
          </w:p>
        </w:tc>
        <w:tc>
          <w:tcPr>
            <w:tcW w:w="1236"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*7.1</w:t>
            </w:r>
          </w:p>
        </w:tc>
        <w:tc>
          <w:tcPr>
            <w:tcW w:w="7246" w:type="dxa"/>
            <w:tcBorders>
              <w:top w:val="nil"/>
              <w:left w:val="single" w:color="auto" w:sz="4" w:space="0"/>
              <w:bottom w:val="single" w:color="auto" w:sz="4" w:space="0"/>
              <w:right w:val="single" w:color="auto" w:sz="4" w:space="0"/>
            </w:tcBorders>
            <w:shd w:val="clear" w:color="auto" w:fill="auto"/>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备餐场所、备餐人员个人卫生、盛装食品成品的容器和分派菜肴整理造型的工具、菜肴围边和盘花符合要求。食品存放温度和时间符合要求。</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rFonts w:hint="eastAsia" w:ascii="宋体" w:hAnsi="宋体" w:eastAsia="宋体" w:cs="宋体"/>
                <w:bCs/>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33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7.2</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采取有效措施，防止供餐过程中食品受到污染。学校食堂就餐区或者就餐区附近应当设置供用餐者清洗手部以及餐具、饮具的用水设施。</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rFonts w:hint="eastAsia" w:ascii="宋体" w:hAnsi="宋体" w:eastAsia="宋体" w:cs="宋体"/>
                <w:bCs/>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133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7.3</w:t>
            </w:r>
          </w:p>
        </w:tc>
        <w:tc>
          <w:tcPr>
            <w:tcW w:w="7246" w:type="dxa"/>
            <w:tcBorders>
              <w:top w:val="single" w:color="auto" w:sz="4" w:space="0"/>
              <w:left w:val="single" w:color="auto" w:sz="4" w:space="0"/>
              <w:right w:val="single" w:color="auto" w:sz="4" w:space="0"/>
            </w:tcBorders>
            <w:shd w:val="clear" w:color="auto" w:fill="auto"/>
            <w:vAlign w:val="center"/>
          </w:tcPr>
          <w:p>
            <w:pPr>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具备符合贮存、运输要求的设施设备。食品的传送电梯、配送车辆、存放食品的车厢或配送箱（包）、与食品直接接触的配送容器符合要求。食品配送过程符合要求。</w:t>
            </w:r>
          </w:p>
        </w:tc>
        <w:tc>
          <w:tcPr>
            <w:tcW w:w="1466" w:type="dxa"/>
            <w:tcBorders>
              <w:top w:val="single" w:color="auto" w:sz="4" w:space="0"/>
              <w:left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7.4</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中央厨房配送过程中，食品的包装或盛放符合要求，包装或盛放容器上标注的信息符合要求。</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330"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7.5</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集体用餐配送单位配送过程中，食品的盛放容器密闭，食品容器上标注的信息符合要求。</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330"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7.6</w:t>
            </w:r>
          </w:p>
        </w:tc>
        <w:tc>
          <w:tcPr>
            <w:tcW w:w="7246" w:type="dxa"/>
            <w:tcBorders>
              <w:top w:val="single" w:color="auto" w:sz="4" w:space="0"/>
              <w:left w:val="single" w:color="auto" w:sz="4" w:space="0"/>
              <w:right w:val="single" w:color="auto" w:sz="4" w:space="0"/>
            </w:tcBorders>
            <w:shd w:val="clear" w:color="auto" w:fill="auto"/>
            <w:vAlign w:val="center"/>
          </w:tcPr>
          <w:p>
            <w:pPr>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外卖送餐人员保持个人卫生、配送箱（包）保持清洁。配送箱（包）中，直接入口食品和非直接入口食品、需低温保存的食品和热食品分隔放置，并保证食品温度符合食品安全要求。</w:t>
            </w:r>
          </w:p>
        </w:tc>
        <w:tc>
          <w:tcPr>
            <w:tcW w:w="1466" w:type="dxa"/>
            <w:tcBorders>
              <w:top w:val="single" w:color="auto" w:sz="4" w:space="0"/>
              <w:left w:val="single" w:color="auto" w:sz="4" w:space="0"/>
              <w:right w:val="single" w:color="auto" w:sz="4" w:space="0"/>
            </w:tcBorders>
            <w:shd w:val="clear" w:color="auto" w:fill="auto"/>
            <w:vAlign w:val="center"/>
          </w:tcPr>
          <w:p>
            <w:pPr>
              <w:adjustRightInd w:val="0"/>
              <w:snapToGrid w:val="0"/>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330" w:type="dxa"/>
            <w:vMerge w:val="restart"/>
            <w:tcBorders>
              <w:top w:val="nil"/>
              <w:left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r>
              <w:rPr>
                <w:rFonts w:hint="eastAsia" w:ascii="宋体" w:hAnsi="宋体" w:eastAsia="宋体" w:cs="宋体"/>
                <w:bCs/>
                <w:color w:val="000000"/>
                <w:kern w:val="2"/>
                <w:sz w:val="24"/>
                <w:szCs w:val="24"/>
                <w:lang w:val="en-US" w:eastAsia="zh-CN" w:bidi="ar-SA"/>
              </w:rPr>
              <w:t>8.</w:t>
            </w:r>
            <w:r>
              <w:rPr>
                <w:rFonts w:hint="eastAsia" w:ascii="宋体" w:hAnsi="宋体" w:eastAsia="宋体" w:cs="宋体"/>
                <w:bCs/>
                <w:color w:val="000000"/>
                <w:kern w:val="2"/>
                <w:sz w:val="24"/>
                <w:szCs w:val="24"/>
                <w:lang w:eastAsia="zh-CN" w:bidi="ar-SA"/>
              </w:rPr>
              <w:t>场所和设备设施清洁维护</w:t>
            </w:r>
          </w:p>
        </w:tc>
        <w:tc>
          <w:tcPr>
            <w:tcW w:w="1236"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bCs/>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8.1</w:t>
            </w:r>
          </w:p>
        </w:tc>
        <w:tc>
          <w:tcPr>
            <w:tcW w:w="7246" w:type="dxa"/>
            <w:tcBorders>
              <w:top w:val="single" w:color="auto" w:sz="4" w:space="0"/>
              <w:left w:val="single" w:color="auto" w:sz="4" w:space="0"/>
              <w:right w:val="single" w:color="auto" w:sz="4" w:space="0"/>
            </w:tcBorders>
            <w:shd w:val="clear" w:color="auto" w:fill="auto"/>
            <w:vAlign w:val="center"/>
          </w:tcPr>
          <w:p>
            <w:pPr>
              <w:overflowPunct w:val="0"/>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eastAsia="zh-CN" w:bidi="ar-SA"/>
              </w:rPr>
              <w:t>未在餐饮经营场所内饲养、暂养和宰杀畜禽；场所及设施设备布局合理。</w:t>
            </w:r>
          </w:p>
        </w:tc>
        <w:tc>
          <w:tcPr>
            <w:tcW w:w="1466" w:type="dxa"/>
            <w:tcBorders>
              <w:top w:val="single" w:color="auto" w:sz="4" w:space="0"/>
              <w:left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330"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8.2</w:t>
            </w:r>
          </w:p>
        </w:tc>
        <w:tc>
          <w:tcPr>
            <w:tcW w:w="7246" w:type="dxa"/>
            <w:tcBorders>
              <w:top w:val="single" w:color="auto" w:sz="4" w:space="0"/>
              <w:left w:val="single" w:color="auto" w:sz="4" w:space="0"/>
              <w:right w:val="single" w:color="auto" w:sz="4" w:space="0"/>
            </w:tcBorders>
            <w:shd w:val="clear" w:color="auto" w:fill="auto"/>
            <w:vAlign w:val="center"/>
          </w:tcPr>
          <w:p>
            <w:pPr>
              <w:widowControl/>
              <w:shd w:val="clear" w:color="auto" w:fill="auto"/>
              <w:overflowPunct w:val="0"/>
              <w:snapToGrid/>
              <w:spacing w:line="240" w:lineRule="auto"/>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shd w:val="clear"/>
                <w:lang w:eastAsia="zh-CN" w:bidi="ar-SA"/>
              </w:rPr>
              <w:t>保持餐饮经营场所环境清洁，墙壁、天花板、门窗、地面、排水沟、操作台、食品加工用具等无破损、霉斑、积油、积水、污垢等。</w:t>
            </w:r>
          </w:p>
        </w:tc>
        <w:tc>
          <w:tcPr>
            <w:tcW w:w="1466" w:type="dxa"/>
            <w:tcBorders>
              <w:top w:val="single" w:color="auto" w:sz="4" w:space="0"/>
              <w:left w:val="single" w:color="auto" w:sz="4" w:space="0"/>
              <w:right w:val="single" w:color="auto" w:sz="4" w:space="0"/>
            </w:tcBorders>
            <w:shd w:val="clear" w:color="auto" w:fill="auto"/>
            <w:vAlign w:val="center"/>
          </w:tcPr>
          <w:p>
            <w:pPr>
              <w:adjustRightInd w:val="0"/>
              <w:snapToGrid w:val="0"/>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330"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*8.3</w:t>
            </w:r>
          </w:p>
        </w:tc>
        <w:tc>
          <w:tcPr>
            <w:tcW w:w="7246" w:type="dxa"/>
            <w:tcBorders>
              <w:top w:val="single" w:color="auto" w:sz="4" w:space="0"/>
              <w:left w:val="single" w:color="auto" w:sz="4" w:space="0"/>
              <w:right w:val="single" w:color="auto" w:sz="4" w:space="0"/>
            </w:tcBorders>
            <w:shd w:val="clear" w:color="auto" w:fill="auto"/>
            <w:vAlign w:val="center"/>
          </w:tcPr>
          <w:p>
            <w:pPr>
              <w:overflowPunct w:val="0"/>
              <w:spacing w:line="240" w:lineRule="auto"/>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eastAsia="zh-CN" w:bidi="ar-SA"/>
              </w:rPr>
              <w:t>冷冻（藏）、保温、陈列、采光、通风、洗手、消毒、三防等设施设备能正常使用。特定餐饮服务提供者具有设施设备维护记录。</w:t>
            </w:r>
          </w:p>
        </w:tc>
        <w:tc>
          <w:tcPr>
            <w:tcW w:w="1466"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330"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*8.4</w:t>
            </w:r>
          </w:p>
        </w:tc>
        <w:tc>
          <w:tcPr>
            <w:tcW w:w="7246" w:type="dxa"/>
            <w:tcBorders>
              <w:top w:val="single" w:color="auto" w:sz="4" w:space="0"/>
              <w:left w:val="single" w:color="auto" w:sz="4" w:space="0"/>
              <w:right w:val="single" w:color="auto" w:sz="4" w:space="0"/>
            </w:tcBorders>
            <w:shd w:val="clear" w:color="auto" w:fill="auto"/>
            <w:vAlign w:val="center"/>
          </w:tcPr>
          <w:p>
            <w:pPr>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eastAsia="zh-CN" w:bidi="ar-SA"/>
              </w:rPr>
              <w:t>有害生物防治措施有效，不存在明显的有害生物活动迹象。餐饮服务企业、中央厨房、集体用餐配送单位、学校（含托幼机构）食堂、养老机构食堂、医疗机构食堂有定期除虫灭害记录。</w:t>
            </w:r>
          </w:p>
        </w:tc>
        <w:tc>
          <w:tcPr>
            <w:tcW w:w="1466"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330"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8.5</w:t>
            </w:r>
          </w:p>
        </w:tc>
        <w:tc>
          <w:tcPr>
            <w:tcW w:w="7246" w:type="dxa"/>
            <w:tcBorders>
              <w:top w:val="single" w:color="auto" w:sz="4" w:space="0"/>
              <w:left w:val="single" w:color="auto" w:sz="4" w:space="0"/>
              <w:right w:val="single" w:color="auto" w:sz="4" w:space="0"/>
            </w:tcBorders>
            <w:shd w:val="clear" w:color="auto" w:fill="auto"/>
            <w:vAlign w:val="center"/>
          </w:tcPr>
          <w:p>
            <w:pPr>
              <w:spacing w:line="300" w:lineRule="exact"/>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eastAsia="zh-CN" w:bidi="ar-SA"/>
              </w:rPr>
              <w:t>卫生间设置位置符合要求，能够保持清洁。</w:t>
            </w:r>
          </w:p>
        </w:tc>
        <w:tc>
          <w:tcPr>
            <w:tcW w:w="1466"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330"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8.6</w:t>
            </w:r>
          </w:p>
        </w:tc>
        <w:tc>
          <w:tcPr>
            <w:tcW w:w="7246" w:type="dxa"/>
            <w:tcBorders>
              <w:top w:val="single" w:color="auto" w:sz="4" w:space="0"/>
              <w:left w:val="single" w:color="auto" w:sz="4" w:space="0"/>
              <w:right w:val="single" w:color="auto" w:sz="4" w:space="0"/>
            </w:tcBorders>
            <w:shd w:val="clear" w:color="auto" w:fill="auto"/>
            <w:vAlign w:val="center"/>
          </w:tcPr>
          <w:p>
            <w:pPr>
              <w:spacing w:line="300" w:lineRule="exact"/>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eastAsia="zh-CN" w:bidi="ar-SA"/>
              </w:rPr>
              <w:t>餐厨废弃物的存放及清理符合要求。</w:t>
            </w:r>
          </w:p>
        </w:tc>
        <w:tc>
          <w:tcPr>
            <w:tcW w:w="1466"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33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val="en-US" w:eastAsia="zh-CN" w:bidi="ar-SA"/>
              </w:rPr>
              <w:t>9.</w:t>
            </w:r>
            <w:r>
              <w:rPr>
                <w:rFonts w:hint="eastAsia" w:ascii="宋体" w:hAnsi="宋体" w:eastAsia="宋体" w:cs="宋体"/>
                <w:color w:val="000000"/>
                <w:kern w:val="2"/>
                <w:sz w:val="24"/>
                <w:szCs w:val="24"/>
                <w:lang w:eastAsia="zh-CN" w:bidi="ar-SA"/>
              </w:rPr>
              <w:t>餐饮具清洗消毒</w:t>
            </w: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9.1</w:t>
            </w:r>
          </w:p>
        </w:tc>
        <w:tc>
          <w:tcPr>
            <w:tcW w:w="7246" w:type="dxa"/>
            <w:tcBorders>
              <w:top w:val="single" w:color="auto" w:sz="4" w:space="0"/>
              <w:left w:val="single" w:color="auto" w:sz="4" w:space="0"/>
              <w:right w:val="single" w:color="auto" w:sz="4" w:space="0"/>
            </w:tcBorders>
            <w:shd w:val="clear" w:color="auto" w:fill="auto"/>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spacing w:val="10"/>
                <w:kern w:val="2"/>
                <w:sz w:val="24"/>
                <w:szCs w:val="24"/>
                <w:lang w:eastAsia="zh-CN" w:bidi="ar-SA"/>
              </w:rPr>
              <w:t>餐用具清洗水池专用，标有明显标识，满足清洗需要。使用的洗涤剂符合食品安全国家标准，包装标识齐全。</w:t>
            </w:r>
          </w:p>
        </w:tc>
        <w:tc>
          <w:tcPr>
            <w:tcW w:w="1466" w:type="dxa"/>
            <w:tcBorders>
              <w:top w:val="single" w:color="auto" w:sz="4" w:space="0"/>
              <w:left w:val="single" w:color="auto" w:sz="4" w:space="0"/>
              <w:right w:val="single" w:color="auto" w:sz="4" w:space="0"/>
            </w:tcBorders>
            <w:shd w:val="clear" w:color="auto" w:fill="auto"/>
            <w:vAlign w:val="center"/>
          </w:tcPr>
          <w:p>
            <w:pPr>
              <w:adjustRightInd w:val="0"/>
              <w:snapToGrid w:val="0"/>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33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w:t>
            </w:r>
            <w:r>
              <w:rPr>
                <w:rFonts w:hint="eastAsia" w:ascii="宋体" w:hAnsi="宋体" w:eastAsia="宋体" w:cs="宋体"/>
                <w:color w:val="000000"/>
                <w:kern w:val="2"/>
                <w:sz w:val="24"/>
                <w:szCs w:val="24"/>
                <w:lang w:val="en-US" w:eastAsia="zh-CN" w:bidi="ar-SA"/>
              </w:rPr>
              <w:t>9.2</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采用物理消毒的，消毒设施（包括一体化洗碗消毒机）运转正常并能满足消毒需要。采用化学消毒的，使用的消毒剂为正规产品，消毒液使用、配制等符合要求。</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330"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9.3</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保洁设施符合相关要求，保洁设施内存放的餐饮具保持清洁。</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1330"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w:t>
            </w:r>
            <w:r>
              <w:rPr>
                <w:rFonts w:hint="eastAsia" w:ascii="宋体" w:hAnsi="宋体" w:eastAsia="宋体" w:cs="宋体"/>
                <w:color w:val="000000"/>
                <w:kern w:val="2"/>
                <w:sz w:val="24"/>
                <w:szCs w:val="24"/>
                <w:lang w:val="en-US" w:eastAsia="zh-CN" w:bidi="ar-SA"/>
              </w:rPr>
              <w:t>9.4</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使用集中清洗消毒餐饮具的，查验、留存集中消毒服务单位的营业执照复印件和消毒合格证明。餐饮具包装无破损、标识符合要求、在使用期限内。</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330"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*9.5</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未发现使用未经清洗消毒的餐饮具、重复使用一次性餐饮具。</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restart"/>
            <w:tcBorders>
              <w:left w:val="single" w:color="auto" w:sz="4" w:space="0"/>
              <w:right w:val="single" w:color="auto" w:sz="4" w:space="0"/>
            </w:tcBorders>
            <w:shd w:val="clear" w:color="auto" w:fill="auto"/>
            <w:vAlign w:val="center"/>
          </w:tcPr>
          <w:p>
            <w:pPr>
              <w:jc w:val="center"/>
              <w:rPr>
                <w:rFonts w:hint="eastAsia" w:ascii="宋体" w:hAnsi="宋体" w:eastAsia="宋体" w:cs="宋体"/>
                <w:bCs/>
                <w:color w:val="000000"/>
                <w:kern w:val="2"/>
                <w:sz w:val="24"/>
                <w:szCs w:val="24"/>
                <w:lang w:eastAsia="zh-CN" w:bidi="ar-SA"/>
              </w:rPr>
            </w:pPr>
            <w:r>
              <w:rPr>
                <w:rFonts w:hint="eastAsia" w:ascii="宋体" w:hAnsi="宋体" w:eastAsia="宋体" w:cs="宋体"/>
                <w:color w:val="000000"/>
                <w:kern w:val="0"/>
                <w:sz w:val="24"/>
                <w:szCs w:val="24"/>
                <w:lang w:val="en-US" w:eastAsia="zh-CN" w:bidi="ar-SA"/>
              </w:rPr>
              <w:t>10.</w:t>
            </w:r>
            <w:r>
              <w:rPr>
                <w:rFonts w:hint="eastAsia" w:ascii="宋体" w:hAnsi="宋体" w:eastAsia="宋体" w:cs="宋体"/>
                <w:color w:val="000000"/>
                <w:kern w:val="0"/>
                <w:sz w:val="24"/>
                <w:szCs w:val="24"/>
                <w:lang w:eastAsia="zh-CN" w:bidi="ar-SA"/>
              </w:rPr>
              <w:t>食品安全管理</w:t>
            </w: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10.1</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spacing w:val="-11"/>
                <w:kern w:val="0"/>
                <w:sz w:val="24"/>
                <w:szCs w:val="24"/>
                <w:lang w:eastAsia="zh-CN" w:bidi="ar-SA"/>
              </w:rPr>
              <w:t>建立并不断完善健全食品安全管理制度</w:t>
            </w:r>
            <w:r>
              <w:rPr>
                <w:rFonts w:hint="eastAsia" w:ascii="宋体" w:hAnsi="宋体" w:eastAsia="宋体" w:cs="宋体"/>
                <w:color w:val="000000"/>
                <w:spacing w:val="-11"/>
                <w:kern w:val="2"/>
                <w:sz w:val="24"/>
                <w:szCs w:val="24"/>
                <w:lang w:eastAsia="zh-CN" w:bidi="ar-SA"/>
              </w:rPr>
              <w:t>，特定餐饮服务提供者制定加工操作规程。中央厨房、集体用餐配送</w:t>
            </w:r>
            <w:r>
              <w:rPr>
                <w:rFonts w:hint="eastAsia" w:ascii="宋体" w:hAnsi="宋体" w:eastAsia="宋体" w:cs="宋体"/>
                <w:color w:val="000000"/>
                <w:spacing w:val="-11"/>
                <w:kern w:val="0"/>
                <w:sz w:val="24"/>
                <w:szCs w:val="24"/>
                <w:lang w:eastAsia="zh-CN" w:bidi="ar-SA"/>
              </w:rPr>
              <w:t>单位、连锁餐饮企业总部、网络餐饮服务第三方平台提供者设立食品安全管理机构。</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1330" w:type="dxa"/>
            <w:vMerge w:val="continue"/>
            <w:tcBorders>
              <w:left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4"/>
                <w:szCs w:val="24"/>
                <w:lang w:val="en-US" w:eastAsia="zh-CN" w:bidi="ar-SA"/>
              </w:rPr>
            </w:pP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10.2</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餐饮服务企业、网络餐饮服务第三方平台提供者、学校（含托幼机构）食堂、养老机构食堂、医疗机构食堂配备专职或兼职食品安全管理人员，留存食品安全管理人员任职文件等证明资料。</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1330" w:type="dxa"/>
            <w:vMerge w:val="continue"/>
            <w:tcBorders>
              <w:left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4"/>
                <w:szCs w:val="24"/>
                <w:lang w:val="en-US" w:eastAsia="zh-CN" w:bidi="ar-SA"/>
              </w:rPr>
            </w:pPr>
          </w:p>
        </w:tc>
        <w:tc>
          <w:tcPr>
            <w:tcW w:w="1236" w:type="dxa"/>
            <w:tcBorders>
              <w:top w:val="nil"/>
              <w:left w:val="single" w:color="auto" w:sz="4" w:space="0"/>
              <w:bottom w:val="single" w:color="auto" w:sz="4" w:space="0"/>
              <w:right w:val="single" w:color="auto" w:sz="4" w:space="0"/>
            </w:tcBorders>
            <w:shd w:val="clear" w:color="auto" w:fill="auto"/>
            <w:vAlign w:val="center"/>
          </w:tcPr>
          <w:p>
            <w:pPr>
              <w:jc w:val="center"/>
              <w:rPr>
                <w:rFonts w:hint="default"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*10.3</w:t>
            </w:r>
          </w:p>
        </w:tc>
        <w:tc>
          <w:tcPr>
            <w:tcW w:w="7246" w:type="dxa"/>
            <w:tcBorders>
              <w:top w:val="nil"/>
              <w:left w:val="single" w:color="auto" w:sz="4" w:space="0"/>
              <w:bottom w:val="single" w:color="auto" w:sz="4" w:space="0"/>
              <w:right w:val="single" w:color="auto" w:sz="4" w:space="0"/>
            </w:tcBorders>
            <w:shd w:val="clear" w:color="auto" w:fill="auto"/>
            <w:vAlign w:val="center"/>
          </w:tcPr>
          <w:p>
            <w:pPr>
              <w:jc w:val="both"/>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随机对食品安全管理人员抽查考核食品安全知识，结果符合要求。</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lang w:eastAsia="zh-CN" w:bidi="ar-SA"/>
              </w:rPr>
            </w:pPr>
          </w:p>
        </w:tc>
        <w:tc>
          <w:tcPr>
            <w:tcW w:w="1236"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10.4</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2"/>
                <w:sz w:val="24"/>
                <w:szCs w:val="24"/>
                <w:lang w:eastAsia="zh-CN" w:bidi="ar-SA"/>
              </w:rPr>
              <w:t>餐饮服务企业、网络餐饮服务第三方平台提供者、学校（含托幼机构）食堂、养老机构食堂、医疗机构食堂有食品安全事故处置方案。</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jc w:val="center"/>
        </w:trPr>
        <w:tc>
          <w:tcPr>
            <w:tcW w:w="1330"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lang w:eastAsia="zh-CN" w:bidi="ar-SA"/>
              </w:rPr>
            </w:pPr>
          </w:p>
        </w:tc>
        <w:tc>
          <w:tcPr>
            <w:tcW w:w="1236"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*10.5</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建立食品安全自查制度，定期对食品安全状况进行检查评价，有食品安全自查记录，自查频次和内容符合相关规定。自查内容真实反映管理现状，及时整改发现的问题。</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sym w:font="Wingdings 2" w:char="00A3"/>
            </w: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330" w:type="dxa"/>
            <w:vMerge w:val="continue"/>
            <w:tcBorders>
              <w:top w:val="single" w:color="auto" w:sz="4" w:space="0"/>
              <w:left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10.6</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shd w:val="clear" w:color="auto" w:fill="auto"/>
              <w:adjustRightInd/>
              <w:snapToGrid/>
              <w:jc w:val="left"/>
              <w:rPr>
                <w:rFonts w:hint="eastAsia" w:ascii="宋体" w:hAnsi="宋体" w:eastAsia="宋体" w:cs="宋体"/>
                <w:color w:val="000000"/>
                <w:kern w:val="2"/>
                <w:sz w:val="24"/>
                <w:szCs w:val="24"/>
                <w:lang w:eastAsia="zh-CN" w:bidi="ar-SA"/>
              </w:rPr>
            </w:pPr>
            <w:r>
              <w:rPr>
                <w:rFonts w:hint="eastAsia" w:ascii="宋体" w:hAnsi="宋体" w:eastAsia="宋体" w:cs="宋体"/>
                <w:color w:val="000000"/>
                <w:spacing w:val="-11"/>
                <w:kern w:val="2"/>
                <w:sz w:val="24"/>
                <w:szCs w:val="24"/>
                <w:lang w:eastAsia="zh-CN" w:bidi="ar-SA"/>
              </w:rPr>
              <w:t>中央厨房和集体用餐配送单位自行或委托具有资质的第三方机构定期对大宗食品原料、加工制作环境进行检验检测，有检验检测结果记录。</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hd w:val="clear" w:color="auto" w:fill="auto"/>
              <w:adjustRightInd/>
              <w:snapToGrid/>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sym w:font="Wingdings 2" w:char="00A3"/>
            </w:r>
            <w:r>
              <w:rPr>
                <w:rFonts w:hint="eastAsia" w:ascii="宋体" w:hAnsi="宋体" w:eastAsia="宋体" w:cs="宋体"/>
                <w:color w:val="000000"/>
                <w:kern w:val="2"/>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shd w:val="clear" w:color="auto" w:fill="auto"/>
          </w:tcPr>
          <w:p>
            <w:pPr>
              <w:widowControl/>
              <w:shd w:val="clear" w:color="auto" w:fill="auto"/>
              <w:adjustRightInd/>
              <w:snapToGrid/>
              <w:jc w:val="center"/>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1330" w:type="dxa"/>
            <w:vMerge w:val="restart"/>
            <w:tcBorders>
              <w:left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val="en-US" w:eastAsia="zh-CN" w:bidi="ar-SA"/>
              </w:rPr>
              <w:t>11.</w:t>
            </w:r>
            <w:r>
              <w:rPr>
                <w:rFonts w:hint="eastAsia" w:ascii="宋体" w:hAnsi="宋体" w:eastAsia="宋体" w:cs="宋体"/>
                <w:color w:val="000000"/>
                <w:kern w:val="2"/>
                <w:sz w:val="24"/>
                <w:szCs w:val="24"/>
                <w:lang w:eastAsia="zh-CN" w:bidi="ar-SA"/>
              </w:rPr>
              <w:t>制止餐饮浪费</w:t>
            </w: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11.1</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val="en-US" w:eastAsia="zh-CN" w:bidi="ar-SA"/>
              </w:rPr>
              <w:t>主动对消费者进行防止食品浪费提示提醒。</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vMerge w:val="restart"/>
            <w:tcBorders>
              <w:top w:val="single" w:color="auto" w:sz="4" w:space="0"/>
              <w:left w:val="single" w:color="auto" w:sz="4" w:space="0"/>
              <w:right w:val="single" w:color="auto" w:sz="4" w:space="0"/>
            </w:tcBorders>
            <w:shd w:val="clear" w:color="auto" w:fill="auto"/>
          </w:tcPr>
          <w:p>
            <w:pPr>
              <w:jc w:val="left"/>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val="en-US" w:eastAsia="zh-CN" w:bidi="ar-SA"/>
              </w:rPr>
              <w:t>若地方人民政府指定市场监督管理部门作为上述工作的职责部门，开展此项检查。若地方人民政府未指定市场监督管理部门作为上述工作的职责部门，不开展此项检查。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continue"/>
            <w:tcBorders>
              <w:left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11.2</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未发现诱导、误导消费者超量点餐造成明显浪费。</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vMerge w:val="continue"/>
            <w:tcBorders>
              <w:left w:val="single" w:color="auto" w:sz="4" w:space="0"/>
              <w:right w:val="single" w:color="auto" w:sz="4" w:space="0"/>
            </w:tcBorders>
            <w:shd w:val="clear" w:color="auto" w:fill="auto"/>
          </w:tcPr>
          <w:p>
            <w:pPr>
              <w:jc w:val="left"/>
              <w:rPr>
                <w:rFonts w:hint="eastAsia" w:ascii="宋体" w:hAnsi="宋体" w:eastAsia="宋体" w:cs="宋体"/>
                <w:color w:val="000000"/>
                <w:kern w:val="0"/>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330" w:type="dxa"/>
            <w:vMerge w:val="continue"/>
            <w:tcBorders>
              <w:left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*11.3</w:t>
            </w:r>
          </w:p>
        </w:tc>
        <w:tc>
          <w:tcPr>
            <w:tcW w:w="7246"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未发现经营过程中存在严重浪费。</w:t>
            </w:r>
          </w:p>
        </w:tc>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vMerge w:val="continue"/>
            <w:tcBorders>
              <w:left w:val="single" w:color="auto" w:sz="4" w:space="0"/>
              <w:right w:val="single" w:color="auto" w:sz="4" w:space="0"/>
            </w:tcBorders>
            <w:shd w:val="clear" w:color="auto" w:fill="auto"/>
          </w:tcPr>
          <w:p>
            <w:pPr>
              <w:jc w:val="left"/>
              <w:rPr>
                <w:rFonts w:hint="eastAsia" w:ascii="宋体" w:hAnsi="宋体" w:eastAsia="宋体" w:cs="宋体"/>
                <w:color w:val="000000"/>
                <w:kern w:val="0"/>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3382" w:type="dxa"/>
            <w:gridSpan w:val="5"/>
            <w:tcBorders>
              <w:left w:val="single" w:color="auto" w:sz="4" w:space="0"/>
              <w:right w:val="single" w:color="auto" w:sz="4" w:space="0"/>
            </w:tcBorders>
            <w:shd w:val="clear" w:color="auto" w:fill="auto"/>
            <w:vAlign w:val="center"/>
          </w:tcPr>
          <w:p>
            <w:pPr>
              <w:spacing w:before="156" w:beforeLines="50" w:after="156" w:afterLines="50" w:line="270" w:lineRule="exact"/>
              <w:jc w:val="left"/>
              <w:rPr>
                <w:rFonts w:hint="eastAsia" w:ascii="宋体" w:hAnsi="宋体" w:eastAsia="宋体" w:cs="宋体"/>
                <w:color w:val="000000"/>
                <w:kern w:val="0"/>
                <w:sz w:val="24"/>
                <w:szCs w:val="24"/>
                <w:lang w:eastAsia="zh-CN" w:bidi="ar-SA"/>
              </w:rPr>
            </w:pPr>
            <w:r>
              <w:rPr>
                <w:rFonts w:hint="eastAsia" w:ascii="宋体" w:hAnsi="宋体" w:eastAsia="宋体" w:cs="宋体"/>
                <w:b w:val="0"/>
                <w:bCs/>
                <w:kern w:val="2"/>
                <w:sz w:val="24"/>
                <w:szCs w:val="24"/>
                <w:lang w:eastAsia="zh-CN" w:bidi="ar-SA"/>
              </w:rPr>
              <w:t>其他需要记录的问题：</w:t>
            </w:r>
          </w:p>
        </w:tc>
      </w:tr>
    </w:tbl>
    <w:p>
      <w:pPr>
        <w:spacing w:line="240" w:lineRule="auto"/>
        <w:ind w:firstLine="480" w:firstLineChars="200"/>
        <w:jc w:val="both"/>
        <w:rPr>
          <w:rFonts w:hint="eastAsia"/>
          <w:lang w:val="en-US" w:eastAsia="zh-CN"/>
        </w:rPr>
      </w:pPr>
      <w:r>
        <w:rPr>
          <w:rFonts w:hint="eastAsia" w:ascii="宋体" w:hAnsi="宋体" w:eastAsia="宋体" w:cs="宋体"/>
          <w:kern w:val="2"/>
          <w:sz w:val="24"/>
          <w:szCs w:val="24"/>
          <w:lang w:val="en-US" w:eastAsia="zh-CN" w:bidi="ar-SA"/>
        </w:rPr>
        <w:t>说明：</w:t>
      </w:r>
      <w:r>
        <w:rPr>
          <w:rFonts w:hint="eastAsia" w:ascii="宋体" w:hAnsi="宋体" w:eastAsia="宋体" w:cs="宋体"/>
          <w:kern w:val="2"/>
          <w:sz w:val="24"/>
          <w:szCs w:val="24"/>
          <w:lang w:eastAsia="zh-CN" w:bidi="ar-SA"/>
        </w:rPr>
        <w:t>如果检查项目存在合理缺项，该项无需勾选“是”与“否”，并在备注中说明，不计入否项数。</w:t>
      </w:r>
    </w:p>
    <w:sectPr>
      <w:footerReference r:id="rId5" w:type="default"/>
      <w:footerReference r:id="rId6" w:type="even"/>
      <w:pgSz w:w="16840" w:h="11900" w:orient="landscape"/>
      <w:pgMar w:top="1619" w:right="2056" w:bottom="1626" w:left="1873" w:header="0" w:footer="3" w:gutter="0"/>
      <w:pgBorders>
        <w:top w:val="none" w:sz="0" w:space="0"/>
        <w:left w:val="none" w:sz="0" w:space="0"/>
        <w:bottom w:val="none" w:sz="0" w:space="0"/>
        <w:right w:val="none" w:sz="0" w:space="0"/>
      </w:pgBorders>
      <w:pgNumType w:fmt="numberInDash" w:start="1"/>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方正小标宋简体">
    <w:panose1 w:val="02000000000000000000"/>
    <w:charset w:val="86"/>
    <w:family w:val="auto"/>
    <w:pitch w:val="default"/>
    <w:sig w:usb0="A00002BF" w:usb1="184F6CFA" w:usb2="00000012" w:usb3="00000000" w:csb0="00040001" w:csb1="00000000"/>
  </w:font>
  <w:font w:name="Wingdings 2">
    <w:panose1 w:val="05020102010507070707"/>
    <w:charset w:val="02"/>
    <w:family w:val="roman"/>
    <w:pitch w:val="default"/>
    <w:sig w:usb0="00000000" w:usb1="00000000" w:usb2="00000000" w:usb3="00000000" w:csb0="80000000" w:csb1="0000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701040" cy="118745"/>
              <wp:effectExtent l="0" t="0" r="0" b="0"/>
              <wp:wrapNone/>
              <wp:docPr id="24" name="Shape 24"/>
              <wp:cNvGraphicFramePr/>
              <a:graphic xmlns:a="http://schemas.openxmlformats.org/drawingml/2006/main">
                <a:graphicData uri="http://schemas.microsoft.com/office/word/2010/wordprocessingShape">
                  <wps:wsp>
                    <wps:cNvSpPr txBox="1"/>
                    <wps:spPr>
                      <a:xfrm>
                        <a:off x="0" y="0"/>
                        <a:ext cx="701040" cy="118745"/>
                      </a:xfrm>
                      <a:prstGeom prst="rect">
                        <a:avLst/>
                      </a:prstGeom>
                      <a:noFill/>
                      <a:ln>
                        <a:noFill/>
                      </a:ln>
                      <a:effectLst/>
                    </wps:spPr>
                    <wps:txbx>
                      <w:txbxContent>
                        <w:p>
                          <w:pPr>
                            <w:pStyle w:val="30"/>
                            <w:jc w:val="left"/>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 id="Shape 24" o:spid="_x0000_s1026" o:spt="202" type="#_x0000_t202" style="position:absolute;left:0pt;margin-top:0pt;height:9.35pt;width:55.2pt;mso-position-horizontal:right;mso-position-horizontal-relative:margin;mso-wrap-style:none;z-index:251660288;mso-width-relative:page;mso-height-relative:page;" filled="f" stroked="f" coordsize="21600,21600" o:gfxdata="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10;nN0q0QAAAAQBAAAPAAAAAAAAAAEAIAAAACIAAABkcnMvZG93bnJldi54bWxQSwECFAAUAAAACACH&#10;TuJA7MXN7LkBAACXAwAADgAAAAAAAAABACAAAAAgAQAAZHJzL2Uyb0RvYy54bWxQSwUGAAAAAAYA&#10;BgBZAQAASwUAAAAA&#10;">
              <v:fill on="f" focussize="0,0"/>
              <v:stroke on="f"/>
              <v:imagedata o:title=""/>
              <o:lock v:ext="edit" aspectratio="f"/>
              <v:textbox inset="0mm,0mm,0mm,0mm" style="mso-fit-shape-to-text:t;">
                <w:txbxContent>
                  <w:p>
                    <w:pPr>
                      <w:pStyle w:val="30"/>
                      <w:jc w:val="left"/>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704215" cy="118745"/>
              <wp:effectExtent l="0" t="0" r="0" b="0"/>
              <wp:wrapNone/>
              <wp:docPr id="26" name="Shape 26"/>
              <wp:cNvGraphicFramePr/>
              <a:graphic xmlns:a="http://schemas.openxmlformats.org/drawingml/2006/main">
                <a:graphicData uri="http://schemas.microsoft.com/office/word/2010/wordprocessingShape">
                  <wps:wsp>
                    <wps:cNvSpPr txBox="1"/>
                    <wps:spPr>
                      <a:xfrm>
                        <a:off x="0" y="0"/>
                        <a:ext cx="704215" cy="118745"/>
                      </a:xfrm>
                      <a:prstGeom prst="rect">
                        <a:avLst/>
                      </a:prstGeom>
                      <a:noFill/>
                      <a:ln>
                        <a:noFill/>
                      </a:ln>
                      <a:effectLst/>
                    </wps:spPr>
                    <wps:txbx>
                      <w:txbxContent>
                        <w:p>
                          <w:pPr>
                            <w:pStyle w:val="30"/>
                            <w:jc w:val="left"/>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 id="Shape 26" o:spid="_x0000_s1026" o:spt="202" type="#_x0000_t202" style="position:absolute;left:0pt;margin-top:0pt;height:9.35pt;width:55.45pt;mso-position-horizontal:right;mso-position-horizontal-relative:margin;mso-wrap-style:none;z-index:251659264;mso-width-relative:page;mso-height-relative:page;" filled="f" stroked="f" coordsize="21600,21600" o:gfxdata="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MTqS59EAAAAEAQAADwAAAAAAAAABACAAAAAiAAAAZHJzL2Rvd25yZXYueG1sUEsBAhQAFAAAAAgA&#10;h07iQLFX/hG6AQAAlwMAAA4AAAAAAAAAAQAgAAAAIAEAAGRycy9lMm9Eb2MueG1sUEsFBgAAAAAG&#10;AAYAWQEAAEwFAAAAAA==&#10;">
              <v:fill on="f" focussize="0,0"/>
              <v:stroke on="f"/>
              <v:imagedata o:title=""/>
              <o:lock v:ext="edit" aspectratio="f"/>
              <v:textbox inset="0mm,0mm,0mm,0mm" style="mso-fit-shape-to-text:t;">
                <w:txbxContent>
                  <w:p>
                    <w:pPr>
                      <w:pStyle w:val="30"/>
                      <w:jc w:val="left"/>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evenAndOddHeaders w:val="1"/>
  <w:drawingGridHorizontalSpacing w:val="181"/>
  <w:drawingGridVerticalSpacing w:val="181"/>
  <w:displayHorizontalDrawingGridEvery w:val="1"/>
  <w:displayVerticalDrawingGridEvery w:val="1"/>
  <w:noPunctuationKerning w:val="1"/>
  <w:characterSpacingControl w:val="compressPunctuation"/>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752C"/>
    <w:rsid w:val="0004183C"/>
    <w:rsid w:val="00086FD5"/>
    <w:rsid w:val="000C3700"/>
    <w:rsid w:val="00121322"/>
    <w:rsid w:val="00193AF5"/>
    <w:rsid w:val="001A695A"/>
    <w:rsid w:val="001C5B53"/>
    <w:rsid w:val="001D4B9B"/>
    <w:rsid w:val="001E72A7"/>
    <w:rsid w:val="002652EB"/>
    <w:rsid w:val="00384BC4"/>
    <w:rsid w:val="00386D0D"/>
    <w:rsid w:val="003F279E"/>
    <w:rsid w:val="00453565"/>
    <w:rsid w:val="004A3CC8"/>
    <w:rsid w:val="004C48CA"/>
    <w:rsid w:val="004D1007"/>
    <w:rsid w:val="004D413D"/>
    <w:rsid w:val="004F6052"/>
    <w:rsid w:val="00510185"/>
    <w:rsid w:val="00561EFE"/>
    <w:rsid w:val="00603BB3"/>
    <w:rsid w:val="00603FF5"/>
    <w:rsid w:val="00631598"/>
    <w:rsid w:val="006513AC"/>
    <w:rsid w:val="006675F5"/>
    <w:rsid w:val="00680C06"/>
    <w:rsid w:val="00691794"/>
    <w:rsid w:val="006D2DFE"/>
    <w:rsid w:val="006E5416"/>
    <w:rsid w:val="0077125D"/>
    <w:rsid w:val="007A1D40"/>
    <w:rsid w:val="007D2ACB"/>
    <w:rsid w:val="00840CD5"/>
    <w:rsid w:val="00843623"/>
    <w:rsid w:val="008872B7"/>
    <w:rsid w:val="008B763C"/>
    <w:rsid w:val="00900247"/>
    <w:rsid w:val="00930FA3"/>
    <w:rsid w:val="0096039C"/>
    <w:rsid w:val="00A11B77"/>
    <w:rsid w:val="00A15186"/>
    <w:rsid w:val="00BA71C0"/>
    <w:rsid w:val="00BB52BC"/>
    <w:rsid w:val="00C53930"/>
    <w:rsid w:val="00C913A8"/>
    <w:rsid w:val="00CA752C"/>
    <w:rsid w:val="00E02F08"/>
    <w:rsid w:val="00E1643A"/>
    <w:rsid w:val="00E37BA6"/>
    <w:rsid w:val="00E426BD"/>
    <w:rsid w:val="00F234BA"/>
    <w:rsid w:val="015F1B0A"/>
    <w:rsid w:val="01EE366E"/>
    <w:rsid w:val="021F5957"/>
    <w:rsid w:val="028D196F"/>
    <w:rsid w:val="02AF0BBD"/>
    <w:rsid w:val="02E57571"/>
    <w:rsid w:val="02EEC73A"/>
    <w:rsid w:val="03047D8B"/>
    <w:rsid w:val="0334158A"/>
    <w:rsid w:val="03B35435"/>
    <w:rsid w:val="042B6317"/>
    <w:rsid w:val="04503306"/>
    <w:rsid w:val="04820908"/>
    <w:rsid w:val="05736940"/>
    <w:rsid w:val="05CE7450"/>
    <w:rsid w:val="05FB64DC"/>
    <w:rsid w:val="06B52B9A"/>
    <w:rsid w:val="072E5B8F"/>
    <w:rsid w:val="07BC353A"/>
    <w:rsid w:val="08FB153D"/>
    <w:rsid w:val="09551ABB"/>
    <w:rsid w:val="0A2D63A5"/>
    <w:rsid w:val="0A794B51"/>
    <w:rsid w:val="0AA95C5A"/>
    <w:rsid w:val="0AF67D60"/>
    <w:rsid w:val="0B2F6381"/>
    <w:rsid w:val="0B5E7182"/>
    <w:rsid w:val="0B736050"/>
    <w:rsid w:val="0B955D25"/>
    <w:rsid w:val="0BC779F7"/>
    <w:rsid w:val="0BE359D1"/>
    <w:rsid w:val="0C664BD8"/>
    <w:rsid w:val="0C6D20DD"/>
    <w:rsid w:val="0CA8625A"/>
    <w:rsid w:val="0D9E7450"/>
    <w:rsid w:val="0EA9027D"/>
    <w:rsid w:val="0F2B249C"/>
    <w:rsid w:val="0FA46F74"/>
    <w:rsid w:val="0FD729D5"/>
    <w:rsid w:val="104D389C"/>
    <w:rsid w:val="10B76A41"/>
    <w:rsid w:val="11AF6DEB"/>
    <w:rsid w:val="129A3653"/>
    <w:rsid w:val="134C66E1"/>
    <w:rsid w:val="14A47799"/>
    <w:rsid w:val="159A57C2"/>
    <w:rsid w:val="1616646D"/>
    <w:rsid w:val="16193CCC"/>
    <w:rsid w:val="161C11D8"/>
    <w:rsid w:val="164737BC"/>
    <w:rsid w:val="165646E3"/>
    <w:rsid w:val="1690348C"/>
    <w:rsid w:val="16980D47"/>
    <w:rsid w:val="16B04D73"/>
    <w:rsid w:val="16D9305B"/>
    <w:rsid w:val="1774292B"/>
    <w:rsid w:val="17DF314D"/>
    <w:rsid w:val="17FD54D5"/>
    <w:rsid w:val="18422AC4"/>
    <w:rsid w:val="1901601B"/>
    <w:rsid w:val="19A167F2"/>
    <w:rsid w:val="19E56D91"/>
    <w:rsid w:val="1A9B2A18"/>
    <w:rsid w:val="1C7460A8"/>
    <w:rsid w:val="1E1250AA"/>
    <w:rsid w:val="1EB51ABC"/>
    <w:rsid w:val="1EE41EB0"/>
    <w:rsid w:val="1F0C4704"/>
    <w:rsid w:val="2032780A"/>
    <w:rsid w:val="217E37EF"/>
    <w:rsid w:val="21B50C75"/>
    <w:rsid w:val="22346C62"/>
    <w:rsid w:val="2340118D"/>
    <w:rsid w:val="240C4C43"/>
    <w:rsid w:val="24284578"/>
    <w:rsid w:val="244F2E0B"/>
    <w:rsid w:val="24845750"/>
    <w:rsid w:val="24B025C0"/>
    <w:rsid w:val="24CA18EA"/>
    <w:rsid w:val="258A4E6D"/>
    <w:rsid w:val="26F74B71"/>
    <w:rsid w:val="26F8208E"/>
    <w:rsid w:val="271C7A02"/>
    <w:rsid w:val="273B515D"/>
    <w:rsid w:val="27C668EB"/>
    <w:rsid w:val="28095EC0"/>
    <w:rsid w:val="28E01825"/>
    <w:rsid w:val="29131E12"/>
    <w:rsid w:val="29253D42"/>
    <w:rsid w:val="29441C39"/>
    <w:rsid w:val="296C500E"/>
    <w:rsid w:val="2B9F5E4B"/>
    <w:rsid w:val="2BFFFBF1"/>
    <w:rsid w:val="2CB6435C"/>
    <w:rsid w:val="2CBB4DD1"/>
    <w:rsid w:val="2CEB5682"/>
    <w:rsid w:val="2D086F9D"/>
    <w:rsid w:val="2D766E70"/>
    <w:rsid w:val="2D8B4E39"/>
    <w:rsid w:val="2E06656A"/>
    <w:rsid w:val="2E333170"/>
    <w:rsid w:val="3038123D"/>
    <w:rsid w:val="31EBDB28"/>
    <w:rsid w:val="32150336"/>
    <w:rsid w:val="34815D22"/>
    <w:rsid w:val="35736097"/>
    <w:rsid w:val="363110A9"/>
    <w:rsid w:val="36E70B9F"/>
    <w:rsid w:val="38292859"/>
    <w:rsid w:val="383C05F3"/>
    <w:rsid w:val="3877960A"/>
    <w:rsid w:val="38992B94"/>
    <w:rsid w:val="38EE736C"/>
    <w:rsid w:val="39986BBB"/>
    <w:rsid w:val="39BB0121"/>
    <w:rsid w:val="39D9436C"/>
    <w:rsid w:val="39DA0F22"/>
    <w:rsid w:val="3A705DCD"/>
    <w:rsid w:val="3B1615A7"/>
    <w:rsid w:val="3D356E4E"/>
    <w:rsid w:val="3DE42E62"/>
    <w:rsid w:val="3E36420B"/>
    <w:rsid w:val="3EC36EF2"/>
    <w:rsid w:val="3F4E3F53"/>
    <w:rsid w:val="3F560BF4"/>
    <w:rsid w:val="3F7B7E3A"/>
    <w:rsid w:val="3F8219C9"/>
    <w:rsid w:val="3FD24E64"/>
    <w:rsid w:val="401C651A"/>
    <w:rsid w:val="403648FE"/>
    <w:rsid w:val="406B7B93"/>
    <w:rsid w:val="40A45A7D"/>
    <w:rsid w:val="40B7200E"/>
    <w:rsid w:val="415518EA"/>
    <w:rsid w:val="416666BA"/>
    <w:rsid w:val="416A1A6E"/>
    <w:rsid w:val="41857B40"/>
    <w:rsid w:val="418F19E5"/>
    <w:rsid w:val="421F3EDA"/>
    <w:rsid w:val="424B32B0"/>
    <w:rsid w:val="429D367E"/>
    <w:rsid w:val="437E368C"/>
    <w:rsid w:val="43BD0922"/>
    <w:rsid w:val="441264A4"/>
    <w:rsid w:val="45414E0A"/>
    <w:rsid w:val="457C4806"/>
    <w:rsid w:val="45B85ABB"/>
    <w:rsid w:val="468429E7"/>
    <w:rsid w:val="477A7EDB"/>
    <w:rsid w:val="47B93131"/>
    <w:rsid w:val="47D25A1A"/>
    <w:rsid w:val="499E7474"/>
    <w:rsid w:val="4ADC0936"/>
    <w:rsid w:val="4B4A7D1A"/>
    <w:rsid w:val="4B784FF5"/>
    <w:rsid w:val="4CA7777A"/>
    <w:rsid w:val="4CBC09B0"/>
    <w:rsid w:val="4CBD1FC6"/>
    <w:rsid w:val="4CED673C"/>
    <w:rsid w:val="4D1762FE"/>
    <w:rsid w:val="4D903299"/>
    <w:rsid w:val="4DA70238"/>
    <w:rsid w:val="4F1ADA34"/>
    <w:rsid w:val="4F3713BF"/>
    <w:rsid w:val="4F445F9C"/>
    <w:rsid w:val="4F58373D"/>
    <w:rsid w:val="4F6DC22A"/>
    <w:rsid w:val="4F7277E8"/>
    <w:rsid w:val="51145923"/>
    <w:rsid w:val="523D116B"/>
    <w:rsid w:val="527C1283"/>
    <w:rsid w:val="52BE3ECA"/>
    <w:rsid w:val="53732C66"/>
    <w:rsid w:val="54065BA4"/>
    <w:rsid w:val="54907A8E"/>
    <w:rsid w:val="54E757B1"/>
    <w:rsid w:val="5587256E"/>
    <w:rsid w:val="55BC0137"/>
    <w:rsid w:val="55D466A2"/>
    <w:rsid w:val="55EE4C8B"/>
    <w:rsid w:val="55FBF798"/>
    <w:rsid w:val="56523291"/>
    <w:rsid w:val="57503E6A"/>
    <w:rsid w:val="579F921D"/>
    <w:rsid w:val="580707DB"/>
    <w:rsid w:val="5ACF4240"/>
    <w:rsid w:val="5AE634CA"/>
    <w:rsid w:val="5BAA01E7"/>
    <w:rsid w:val="5BC5DD2E"/>
    <w:rsid w:val="5BDD4CD9"/>
    <w:rsid w:val="5C9C6B0B"/>
    <w:rsid w:val="5CC944CC"/>
    <w:rsid w:val="5CDF04A6"/>
    <w:rsid w:val="5CF54D8D"/>
    <w:rsid w:val="5DCE0396"/>
    <w:rsid w:val="5DF34452"/>
    <w:rsid w:val="5DFD6058"/>
    <w:rsid w:val="5EC60F3C"/>
    <w:rsid w:val="5FEFD474"/>
    <w:rsid w:val="5FFDA7F3"/>
    <w:rsid w:val="60224D42"/>
    <w:rsid w:val="602D48CB"/>
    <w:rsid w:val="60311C9B"/>
    <w:rsid w:val="60892386"/>
    <w:rsid w:val="610C327C"/>
    <w:rsid w:val="616B06B6"/>
    <w:rsid w:val="616C6B3C"/>
    <w:rsid w:val="618D24C0"/>
    <w:rsid w:val="62137735"/>
    <w:rsid w:val="62E645D3"/>
    <w:rsid w:val="639C49CE"/>
    <w:rsid w:val="63CA71D8"/>
    <w:rsid w:val="63DF5750"/>
    <w:rsid w:val="642B4A48"/>
    <w:rsid w:val="64DB3A7F"/>
    <w:rsid w:val="657991CC"/>
    <w:rsid w:val="66AD6CDA"/>
    <w:rsid w:val="66D702A8"/>
    <w:rsid w:val="66DB9CAA"/>
    <w:rsid w:val="679FF4BF"/>
    <w:rsid w:val="67D35C62"/>
    <w:rsid w:val="67FF1658"/>
    <w:rsid w:val="68EB30E3"/>
    <w:rsid w:val="68F3246E"/>
    <w:rsid w:val="6A9921C4"/>
    <w:rsid w:val="6AAA1545"/>
    <w:rsid w:val="6AFE087F"/>
    <w:rsid w:val="6B3B11ED"/>
    <w:rsid w:val="6B5A7DB7"/>
    <w:rsid w:val="6BBB70C8"/>
    <w:rsid w:val="6BFFF118"/>
    <w:rsid w:val="6C7A1DEF"/>
    <w:rsid w:val="6C9153D9"/>
    <w:rsid w:val="6C951D1D"/>
    <w:rsid w:val="6CA43E69"/>
    <w:rsid w:val="6DA0128D"/>
    <w:rsid w:val="6DD1034D"/>
    <w:rsid w:val="6E36488C"/>
    <w:rsid w:val="6E375267"/>
    <w:rsid w:val="6E661D1D"/>
    <w:rsid w:val="6F496F9F"/>
    <w:rsid w:val="6F7A14C8"/>
    <w:rsid w:val="701D5DC0"/>
    <w:rsid w:val="702B4973"/>
    <w:rsid w:val="708A38DA"/>
    <w:rsid w:val="709329F4"/>
    <w:rsid w:val="70B10081"/>
    <w:rsid w:val="70E37655"/>
    <w:rsid w:val="712612F0"/>
    <w:rsid w:val="71D4762D"/>
    <w:rsid w:val="71E8286E"/>
    <w:rsid w:val="72282F23"/>
    <w:rsid w:val="723D1BEA"/>
    <w:rsid w:val="724D5043"/>
    <w:rsid w:val="73147FF5"/>
    <w:rsid w:val="73543FB9"/>
    <w:rsid w:val="73AD4E92"/>
    <w:rsid w:val="73F02BB5"/>
    <w:rsid w:val="74130A63"/>
    <w:rsid w:val="74217BC8"/>
    <w:rsid w:val="7482279C"/>
    <w:rsid w:val="750C577E"/>
    <w:rsid w:val="75F242CF"/>
    <w:rsid w:val="76DCBA54"/>
    <w:rsid w:val="770624CE"/>
    <w:rsid w:val="7728328B"/>
    <w:rsid w:val="773A0F51"/>
    <w:rsid w:val="77897DED"/>
    <w:rsid w:val="77BDFCE3"/>
    <w:rsid w:val="786611E4"/>
    <w:rsid w:val="78973391"/>
    <w:rsid w:val="79785CC1"/>
    <w:rsid w:val="79A56F8F"/>
    <w:rsid w:val="79AA2C5E"/>
    <w:rsid w:val="7AD95FCD"/>
    <w:rsid w:val="7BAE039F"/>
    <w:rsid w:val="7BEEF87A"/>
    <w:rsid w:val="7CB90BBF"/>
    <w:rsid w:val="7D7F16E7"/>
    <w:rsid w:val="7D9A0295"/>
    <w:rsid w:val="7DF341FB"/>
    <w:rsid w:val="7E555EB8"/>
    <w:rsid w:val="7E7121F0"/>
    <w:rsid w:val="7EC44BD1"/>
    <w:rsid w:val="7ED11DED"/>
    <w:rsid w:val="7ED970AE"/>
    <w:rsid w:val="7EFDF1B2"/>
    <w:rsid w:val="7EFFE652"/>
    <w:rsid w:val="7F6F144B"/>
    <w:rsid w:val="7FCA7DF4"/>
    <w:rsid w:val="7FE6C9A2"/>
    <w:rsid w:val="7FF9BA35"/>
    <w:rsid w:val="8FBF034B"/>
    <w:rsid w:val="8FBF3156"/>
    <w:rsid w:val="9CBD5B73"/>
    <w:rsid w:val="9EFE0A97"/>
    <w:rsid w:val="9F6EF0F7"/>
    <w:rsid w:val="B6FEF627"/>
    <w:rsid w:val="BA7B23C6"/>
    <w:rsid w:val="BBBF0CFA"/>
    <w:rsid w:val="BC9BE0EC"/>
    <w:rsid w:val="BD3B0D8A"/>
    <w:rsid w:val="BD434A1F"/>
    <w:rsid w:val="BF2DE8C6"/>
    <w:rsid w:val="CFDDB7C8"/>
    <w:rsid w:val="D8FF7499"/>
    <w:rsid w:val="DDFB835A"/>
    <w:rsid w:val="DFAF2865"/>
    <w:rsid w:val="DFCE8D44"/>
    <w:rsid w:val="E7A78A74"/>
    <w:rsid w:val="EAFD8E78"/>
    <w:rsid w:val="EFB4C461"/>
    <w:rsid w:val="EFF7EA02"/>
    <w:rsid w:val="F36F31C5"/>
    <w:rsid w:val="F37FE375"/>
    <w:rsid w:val="F5C94031"/>
    <w:rsid w:val="F7FBD06B"/>
    <w:rsid w:val="F7FF95D0"/>
    <w:rsid w:val="FBF39570"/>
    <w:rsid w:val="FC7CCD33"/>
    <w:rsid w:val="FD7F80AF"/>
    <w:rsid w:val="FEFF5429"/>
    <w:rsid w:val="FEFF5E5A"/>
    <w:rsid w:val="FF732785"/>
    <w:rsid w:val="FF8784A9"/>
    <w:rsid w:val="FFBF718C"/>
    <w:rsid w:val="FFD72B12"/>
    <w:rsid w:val="FFE705C6"/>
    <w:rsid w:val="FFEF2E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style>
  <w:style w:type="paragraph" w:styleId="3">
    <w:name w:val="footer"/>
    <w:basedOn w:val="1"/>
    <w:link w:val="34"/>
    <w:qFormat/>
    <w:uiPriority w:val="0"/>
    <w:pPr>
      <w:tabs>
        <w:tab w:val="center" w:pos="4153"/>
        <w:tab w:val="right" w:pos="8306"/>
      </w:tabs>
      <w:snapToGrid w:val="0"/>
    </w:pPr>
    <w:rPr>
      <w:sz w:val="18"/>
      <w:szCs w:val="18"/>
    </w:rPr>
  </w:style>
  <w:style w:type="paragraph" w:styleId="4">
    <w:name w:val="header"/>
    <w:basedOn w:val="1"/>
    <w:link w:val="33"/>
    <w:qFormat/>
    <w:uiPriority w:val="0"/>
    <w:pPr>
      <w:pBdr>
        <w:bottom w:val="single" w:color="auto" w:sz="6" w:space="1"/>
      </w:pBd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Header or footer|2_"/>
    <w:basedOn w:val="8"/>
    <w:link w:val="10"/>
    <w:qFormat/>
    <w:uiPriority w:val="0"/>
    <w:rPr>
      <w:sz w:val="20"/>
      <w:szCs w:val="20"/>
      <w:u w:val="none"/>
      <w:shd w:val="clear" w:color="auto" w:fill="auto"/>
      <w:lang w:val="zh-TW" w:eastAsia="zh-TW" w:bidi="zh-TW"/>
    </w:rPr>
  </w:style>
  <w:style w:type="paragraph" w:customStyle="1" w:styleId="10">
    <w:name w:val="Header or footer|2"/>
    <w:basedOn w:val="1"/>
    <w:link w:val="9"/>
    <w:qFormat/>
    <w:uiPriority w:val="0"/>
    <w:rPr>
      <w:sz w:val="20"/>
      <w:szCs w:val="20"/>
      <w:lang w:val="zh-TW" w:eastAsia="zh-TW" w:bidi="zh-TW"/>
    </w:rPr>
  </w:style>
  <w:style w:type="character" w:customStyle="1" w:styleId="11">
    <w:name w:val="Body text|1_"/>
    <w:basedOn w:val="8"/>
    <w:link w:val="12"/>
    <w:qFormat/>
    <w:uiPriority w:val="0"/>
    <w:rPr>
      <w:rFonts w:ascii="宋体" w:hAnsi="宋体" w:eastAsia="宋体" w:cs="宋体"/>
      <w:color w:val="232323"/>
      <w:sz w:val="28"/>
      <w:szCs w:val="28"/>
      <w:u w:val="none"/>
      <w:shd w:val="clear" w:color="auto" w:fill="auto"/>
      <w:lang w:val="zh-TW" w:eastAsia="zh-TW" w:bidi="zh-TW"/>
    </w:rPr>
  </w:style>
  <w:style w:type="paragraph" w:customStyle="1" w:styleId="12">
    <w:name w:val="Body text|1"/>
    <w:basedOn w:val="1"/>
    <w:link w:val="11"/>
    <w:qFormat/>
    <w:uiPriority w:val="0"/>
    <w:pPr>
      <w:spacing w:line="456" w:lineRule="auto"/>
      <w:ind w:firstLine="400"/>
    </w:pPr>
    <w:rPr>
      <w:rFonts w:ascii="宋体" w:hAnsi="宋体" w:eastAsia="宋体" w:cs="宋体"/>
      <w:color w:val="232323"/>
      <w:sz w:val="28"/>
      <w:szCs w:val="28"/>
      <w:lang w:val="zh-TW" w:eastAsia="zh-TW" w:bidi="zh-TW"/>
    </w:rPr>
  </w:style>
  <w:style w:type="character" w:customStyle="1" w:styleId="13">
    <w:name w:val="Heading #1|1_"/>
    <w:basedOn w:val="8"/>
    <w:link w:val="14"/>
    <w:qFormat/>
    <w:uiPriority w:val="0"/>
    <w:rPr>
      <w:rFonts w:ascii="宋体" w:hAnsi="宋体" w:eastAsia="宋体" w:cs="宋体"/>
      <w:sz w:val="38"/>
      <w:szCs w:val="38"/>
      <w:u w:val="none"/>
      <w:shd w:val="clear" w:color="auto" w:fill="auto"/>
      <w:lang w:val="zh-TW" w:eastAsia="zh-TW" w:bidi="zh-TW"/>
    </w:rPr>
  </w:style>
  <w:style w:type="paragraph" w:customStyle="1" w:styleId="14">
    <w:name w:val="Heading #1|1"/>
    <w:basedOn w:val="1"/>
    <w:link w:val="13"/>
    <w:qFormat/>
    <w:uiPriority w:val="0"/>
    <w:pPr>
      <w:spacing w:after="360"/>
      <w:jc w:val="center"/>
      <w:outlineLvl w:val="0"/>
    </w:pPr>
    <w:rPr>
      <w:rFonts w:ascii="宋体" w:hAnsi="宋体" w:eastAsia="宋体" w:cs="宋体"/>
      <w:sz w:val="38"/>
      <w:szCs w:val="38"/>
      <w:lang w:val="zh-TW" w:eastAsia="zh-TW" w:bidi="zh-TW"/>
    </w:rPr>
  </w:style>
  <w:style w:type="character" w:customStyle="1" w:styleId="15">
    <w:name w:val="Heading #2|1_"/>
    <w:basedOn w:val="8"/>
    <w:link w:val="16"/>
    <w:qFormat/>
    <w:uiPriority w:val="0"/>
    <w:rPr>
      <w:rFonts w:ascii="宋体" w:hAnsi="宋体" w:eastAsia="宋体" w:cs="宋体"/>
      <w:b/>
      <w:bCs/>
      <w:sz w:val="28"/>
      <w:szCs w:val="28"/>
      <w:u w:val="none"/>
      <w:shd w:val="clear" w:color="auto" w:fill="auto"/>
      <w:lang w:val="zh-TW" w:eastAsia="zh-TW" w:bidi="zh-TW"/>
    </w:rPr>
  </w:style>
  <w:style w:type="paragraph" w:customStyle="1" w:styleId="16">
    <w:name w:val="Heading #2|1"/>
    <w:basedOn w:val="1"/>
    <w:link w:val="15"/>
    <w:qFormat/>
    <w:uiPriority w:val="0"/>
    <w:pPr>
      <w:spacing w:line="609" w:lineRule="exact"/>
      <w:ind w:firstLine="630"/>
      <w:outlineLvl w:val="1"/>
    </w:pPr>
    <w:rPr>
      <w:rFonts w:ascii="宋体" w:hAnsi="宋体" w:eastAsia="宋体" w:cs="宋体"/>
      <w:b/>
      <w:bCs/>
      <w:sz w:val="28"/>
      <w:szCs w:val="28"/>
      <w:lang w:val="zh-TW" w:eastAsia="zh-TW" w:bidi="zh-TW"/>
    </w:rPr>
  </w:style>
  <w:style w:type="character" w:customStyle="1" w:styleId="17">
    <w:name w:val="Body text|5_"/>
    <w:basedOn w:val="8"/>
    <w:link w:val="18"/>
    <w:qFormat/>
    <w:uiPriority w:val="0"/>
    <w:rPr>
      <w:u w:val="none"/>
      <w:shd w:val="clear" w:color="auto" w:fill="auto"/>
      <w:lang w:val="zh-TW" w:eastAsia="zh-TW" w:bidi="zh-TW"/>
    </w:rPr>
  </w:style>
  <w:style w:type="paragraph" w:customStyle="1" w:styleId="18">
    <w:name w:val="Body text|5"/>
    <w:basedOn w:val="1"/>
    <w:link w:val="17"/>
    <w:qFormat/>
    <w:uiPriority w:val="0"/>
    <w:pPr>
      <w:spacing w:after="120"/>
      <w:ind w:firstLine="260"/>
    </w:pPr>
    <w:rPr>
      <w:lang w:val="zh-TW" w:eastAsia="zh-TW" w:bidi="zh-TW"/>
    </w:rPr>
  </w:style>
  <w:style w:type="character" w:customStyle="1" w:styleId="19">
    <w:name w:val="Body text|4_"/>
    <w:basedOn w:val="8"/>
    <w:link w:val="20"/>
    <w:qFormat/>
    <w:uiPriority w:val="0"/>
    <w:rPr>
      <w:rFonts w:ascii="宋体" w:hAnsi="宋体" w:eastAsia="宋体" w:cs="宋体"/>
      <w:color w:val="232323"/>
      <w:sz w:val="18"/>
      <w:szCs w:val="18"/>
      <w:u w:val="none"/>
      <w:shd w:val="clear" w:color="auto" w:fill="auto"/>
      <w:lang w:val="zh-TW" w:eastAsia="zh-TW" w:bidi="zh-TW"/>
    </w:rPr>
  </w:style>
  <w:style w:type="paragraph" w:customStyle="1" w:styleId="20">
    <w:name w:val="Body text|4"/>
    <w:basedOn w:val="1"/>
    <w:link w:val="19"/>
    <w:qFormat/>
    <w:uiPriority w:val="0"/>
    <w:rPr>
      <w:rFonts w:ascii="宋体" w:hAnsi="宋体" w:eastAsia="宋体" w:cs="宋体"/>
      <w:color w:val="232323"/>
      <w:sz w:val="18"/>
      <w:szCs w:val="18"/>
      <w:lang w:val="zh-TW" w:eastAsia="zh-TW" w:bidi="zh-TW"/>
    </w:rPr>
  </w:style>
  <w:style w:type="character" w:customStyle="1" w:styleId="21">
    <w:name w:val="Other|1_"/>
    <w:basedOn w:val="8"/>
    <w:link w:val="22"/>
    <w:qFormat/>
    <w:uiPriority w:val="0"/>
    <w:rPr>
      <w:rFonts w:ascii="宋体" w:hAnsi="宋体" w:eastAsia="宋体" w:cs="宋体"/>
      <w:color w:val="232323"/>
      <w:sz w:val="28"/>
      <w:szCs w:val="28"/>
      <w:u w:val="none"/>
      <w:shd w:val="clear" w:color="auto" w:fill="auto"/>
      <w:lang w:val="zh-TW" w:eastAsia="zh-TW" w:bidi="zh-TW"/>
    </w:rPr>
  </w:style>
  <w:style w:type="paragraph" w:customStyle="1" w:styleId="22">
    <w:name w:val="Other|1"/>
    <w:basedOn w:val="1"/>
    <w:link w:val="21"/>
    <w:qFormat/>
    <w:uiPriority w:val="0"/>
    <w:pPr>
      <w:spacing w:line="456" w:lineRule="auto"/>
      <w:ind w:firstLine="400"/>
    </w:pPr>
    <w:rPr>
      <w:rFonts w:ascii="宋体" w:hAnsi="宋体" w:eastAsia="宋体" w:cs="宋体"/>
      <w:color w:val="232323"/>
      <w:sz w:val="28"/>
      <w:szCs w:val="28"/>
      <w:lang w:val="zh-TW" w:eastAsia="zh-TW" w:bidi="zh-TW"/>
    </w:rPr>
  </w:style>
  <w:style w:type="character" w:customStyle="1" w:styleId="23">
    <w:name w:val="Body text|2_"/>
    <w:basedOn w:val="8"/>
    <w:link w:val="24"/>
    <w:qFormat/>
    <w:uiPriority w:val="0"/>
    <w:rPr>
      <w:rFonts w:ascii="宋体" w:hAnsi="宋体" w:eastAsia="宋体" w:cs="宋体"/>
      <w:color w:val="232323"/>
      <w:sz w:val="20"/>
      <w:szCs w:val="20"/>
      <w:u w:val="none"/>
      <w:shd w:val="clear" w:color="auto" w:fill="auto"/>
      <w:lang w:val="zh-TW" w:eastAsia="zh-TW" w:bidi="zh-TW"/>
    </w:rPr>
  </w:style>
  <w:style w:type="paragraph" w:customStyle="1" w:styleId="24">
    <w:name w:val="Body text|2"/>
    <w:basedOn w:val="1"/>
    <w:link w:val="23"/>
    <w:qFormat/>
    <w:uiPriority w:val="0"/>
    <w:pPr>
      <w:spacing w:line="384" w:lineRule="exact"/>
      <w:ind w:firstLine="420"/>
    </w:pPr>
    <w:rPr>
      <w:rFonts w:ascii="宋体" w:hAnsi="宋体" w:eastAsia="宋体" w:cs="宋体"/>
      <w:color w:val="232323"/>
      <w:sz w:val="20"/>
      <w:szCs w:val="20"/>
      <w:lang w:val="zh-TW" w:eastAsia="zh-TW" w:bidi="zh-TW"/>
    </w:rPr>
  </w:style>
  <w:style w:type="character" w:customStyle="1" w:styleId="25">
    <w:name w:val="Table caption|1_"/>
    <w:basedOn w:val="8"/>
    <w:link w:val="26"/>
    <w:qFormat/>
    <w:uiPriority w:val="0"/>
    <w:rPr>
      <w:rFonts w:ascii="宋体" w:hAnsi="宋体" w:eastAsia="宋体" w:cs="宋体"/>
      <w:color w:val="232323"/>
      <w:sz w:val="22"/>
      <w:szCs w:val="22"/>
      <w:u w:val="none"/>
      <w:shd w:val="clear" w:color="auto" w:fill="auto"/>
      <w:lang w:val="zh-TW" w:eastAsia="zh-TW" w:bidi="zh-TW"/>
    </w:rPr>
  </w:style>
  <w:style w:type="paragraph" w:customStyle="1" w:styleId="26">
    <w:name w:val="Table caption|1"/>
    <w:basedOn w:val="1"/>
    <w:link w:val="25"/>
    <w:qFormat/>
    <w:uiPriority w:val="0"/>
    <w:pPr>
      <w:spacing w:line="307" w:lineRule="exact"/>
    </w:pPr>
    <w:rPr>
      <w:rFonts w:ascii="宋体" w:hAnsi="宋体" w:eastAsia="宋体" w:cs="宋体"/>
      <w:color w:val="232323"/>
      <w:sz w:val="22"/>
      <w:szCs w:val="22"/>
      <w:lang w:val="zh-TW" w:eastAsia="zh-TW" w:bidi="zh-TW"/>
    </w:rPr>
  </w:style>
  <w:style w:type="character" w:customStyle="1" w:styleId="27">
    <w:name w:val="Body text|3_"/>
    <w:basedOn w:val="8"/>
    <w:link w:val="28"/>
    <w:qFormat/>
    <w:uiPriority w:val="0"/>
    <w:rPr>
      <w:color w:val="232323"/>
      <w:sz w:val="20"/>
      <w:szCs w:val="20"/>
      <w:u w:val="none"/>
      <w:shd w:val="clear" w:color="auto" w:fill="auto"/>
      <w:lang w:val="zh-TW" w:eastAsia="zh-TW" w:bidi="zh-TW"/>
    </w:rPr>
  </w:style>
  <w:style w:type="paragraph" w:customStyle="1" w:styleId="28">
    <w:name w:val="Body text|3"/>
    <w:basedOn w:val="1"/>
    <w:link w:val="27"/>
    <w:qFormat/>
    <w:uiPriority w:val="0"/>
    <w:pPr>
      <w:spacing w:after="140"/>
      <w:ind w:firstLine="720"/>
    </w:pPr>
    <w:rPr>
      <w:color w:val="232323"/>
      <w:sz w:val="20"/>
      <w:szCs w:val="20"/>
      <w:lang w:val="zh-TW" w:eastAsia="zh-TW" w:bidi="zh-TW"/>
    </w:rPr>
  </w:style>
  <w:style w:type="character" w:customStyle="1" w:styleId="29">
    <w:name w:val="Header or footer|1_"/>
    <w:basedOn w:val="8"/>
    <w:link w:val="30"/>
    <w:qFormat/>
    <w:uiPriority w:val="0"/>
    <w:rPr>
      <w:u w:val="none"/>
      <w:shd w:val="clear" w:color="auto" w:fill="auto"/>
      <w:lang w:val="zh-TW" w:eastAsia="zh-TW" w:bidi="zh-TW"/>
    </w:rPr>
  </w:style>
  <w:style w:type="paragraph" w:customStyle="1" w:styleId="30">
    <w:name w:val="Header or footer|1"/>
    <w:basedOn w:val="1"/>
    <w:link w:val="29"/>
    <w:qFormat/>
    <w:uiPriority w:val="0"/>
    <w:pPr>
      <w:jc w:val="right"/>
    </w:pPr>
    <w:rPr>
      <w:lang w:val="zh-TW" w:eastAsia="zh-TW" w:bidi="zh-TW"/>
    </w:rPr>
  </w:style>
  <w:style w:type="character" w:customStyle="1" w:styleId="31">
    <w:name w:val="Picture caption|1_"/>
    <w:basedOn w:val="8"/>
    <w:link w:val="32"/>
    <w:qFormat/>
    <w:uiPriority w:val="0"/>
    <w:rPr>
      <w:rFonts w:ascii="宋体" w:hAnsi="宋体" w:eastAsia="宋体" w:cs="宋体"/>
      <w:color w:val="232323"/>
      <w:sz w:val="20"/>
      <w:szCs w:val="20"/>
      <w:u w:val="none"/>
      <w:shd w:val="clear" w:color="auto" w:fill="auto"/>
      <w:lang w:val="zh-TW" w:eastAsia="zh-TW" w:bidi="zh-TW"/>
    </w:rPr>
  </w:style>
  <w:style w:type="paragraph" w:customStyle="1" w:styleId="32">
    <w:name w:val="Picture caption|1"/>
    <w:basedOn w:val="1"/>
    <w:link w:val="31"/>
    <w:qFormat/>
    <w:uiPriority w:val="0"/>
    <w:rPr>
      <w:rFonts w:ascii="宋体" w:hAnsi="宋体" w:eastAsia="宋体" w:cs="宋体"/>
      <w:color w:val="232323"/>
      <w:sz w:val="20"/>
      <w:szCs w:val="20"/>
      <w:lang w:val="zh-TW" w:eastAsia="zh-TW" w:bidi="zh-TW"/>
    </w:rPr>
  </w:style>
  <w:style w:type="character" w:customStyle="1" w:styleId="33">
    <w:name w:val="页眉 字符"/>
    <w:basedOn w:val="8"/>
    <w:link w:val="4"/>
    <w:qFormat/>
    <w:uiPriority w:val="0"/>
    <w:rPr>
      <w:rFonts w:eastAsia="Times New Roman"/>
      <w:color w:val="000000"/>
      <w:sz w:val="18"/>
      <w:szCs w:val="18"/>
      <w:lang w:eastAsia="en-US" w:bidi="en-US"/>
    </w:rPr>
  </w:style>
  <w:style w:type="character" w:customStyle="1" w:styleId="34">
    <w:name w:val="页脚 字符"/>
    <w:basedOn w:val="8"/>
    <w:link w:val="3"/>
    <w:qFormat/>
    <w:uiPriority w:val="0"/>
    <w:rPr>
      <w:rFonts w:eastAsia="Times New Roman"/>
      <w:color w:val="000000"/>
      <w:sz w:val="18"/>
      <w:szCs w:val="18"/>
      <w:lang w:eastAsia="en-US" w:bidi="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7</Pages>
  <Words>605</Words>
  <Characters>3449</Characters>
  <Lines>28</Lines>
  <Paragraphs>8</Paragraphs>
  <TotalTime>33</TotalTime>
  <ScaleCrop>false</ScaleCrop>
  <LinksUpToDate>false</LinksUpToDate>
  <CharactersWithSpaces>4046</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2020-09-30T10:17:00Z</dcterms:created>
  <dc:creator>li_yoo</dc:creator>
  <cp:lastModifiedBy>刘博文</cp:lastModifiedBy>
  <cp:lastPrinted>2022-03-12T10:50:00Z</cp:lastPrinted>
  <dcterms:modified xsi:type="dcterms:W3CDTF">2022-03-11T10:50:33Z</dcterms:modified>
  <dc:title> </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4E6C8F2CEC7C43519A2F55976BF67B1A</vt:lpwstr>
  </property>
</Properties>
</file>